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0" w:type="dxa"/>
        <w:jc w:val="center"/>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9099"/>
      </w:tblGrid>
      <w:tr w:rsidR="00061DB3" w14:paraId="15C667B4" w14:textId="77777777" w:rsidTr="00061DB3">
        <w:trPr>
          <w:jc w:val="center"/>
        </w:trPr>
        <w:tc>
          <w:tcPr>
            <w:tcW w:w="0" w:type="auto"/>
            <w:tcBorders>
              <w:top w:val="single" w:sz="6" w:space="0" w:color="DDDDDD"/>
              <w:left w:val="single" w:sz="6" w:space="0" w:color="DDDDDD"/>
              <w:bottom w:val="nil"/>
              <w:right w:val="single" w:sz="6" w:space="0" w:color="DDDDDD"/>
            </w:tcBorders>
            <w:hideMark/>
          </w:tcPr>
          <w:tbl>
            <w:tblPr>
              <w:tblW w:w="5000" w:type="pct"/>
              <w:jc w:val="center"/>
              <w:tblBorders>
                <w:bottom w:val="single" w:sz="6" w:space="0" w:color="CCCCCC"/>
              </w:tblBorders>
              <w:shd w:val="clear" w:color="auto" w:fill="FFFFFF"/>
              <w:tblCellMar>
                <w:left w:w="0" w:type="dxa"/>
                <w:right w:w="0" w:type="dxa"/>
              </w:tblCellMar>
              <w:tblLook w:val="04A0" w:firstRow="1" w:lastRow="0" w:firstColumn="1" w:lastColumn="0" w:noHBand="0" w:noVBand="1"/>
            </w:tblPr>
            <w:tblGrid>
              <w:gridCol w:w="6384"/>
              <w:gridCol w:w="2700"/>
            </w:tblGrid>
            <w:tr w:rsidR="00061DB3" w14:paraId="38F80FE7" w14:textId="77777777">
              <w:trPr>
                <w:jc w:val="center"/>
              </w:trPr>
              <w:tc>
                <w:tcPr>
                  <w:tcW w:w="0" w:type="auto"/>
                  <w:tcBorders>
                    <w:top w:val="nil"/>
                    <w:left w:val="nil"/>
                    <w:bottom w:val="single" w:sz="6" w:space="0" w:color="CCCCCC"/>
                    <w:right w:val="nil"/>
                  </w:tcBorders>
                  <w:shd w:val="clear" w:color="auto" w:fill="FFFFFF"/>
                  <w:tcMar>
                    <w:top w:w="150" w:type="dxa"/>
                    <w:left w:w="300" w:type="dxa"/>
                    <w:bottom w:w="150" w:type="dxa"/>
                    <w:right w:w="300" w:type="dxa"/>
                  </w:tcMar>
                  <w:hideMark/>
                </w:tcPr>
                <w:p w14:paraId="471E4C6E" w14:textId="77777777" w:rsidR="00061DB3" w:rsidRDefault="00061DB3">
                  <w:pPr>
                    <w:spacing w:line="188"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t>Historical monthly and quarterly comparisons are provided.</w:t>
                  </w:r>
                </w:p>
              </w:tc>
              <w:tc>
                <w:tcPr>
                  <w:tcW w:w="2700" w:type="dxa"/>
                  <w:tcBorders>
                    <w:top w:val="nil"/>
                    <w:left w:val="nil"/>
                    <w:bottom w:val="single" w:sz="6" w:space="0" w:color="CCCCCC"/>
                    <w:right w:val="nil"/>
                  </w:tcBorders>
                  <w:shd w:val="clear" w:color="auto" w:fill="FFFFFF"/>
                  <w:tcMar>
                    <w:top w:w="150" w:type="dxa"/>
                    <w:left w:w="0" w:type="dxa"/>
                    <w:bottom w:w="150" w:type="dxa"/>
                    <w:right w:w="300" w:type="dxa"/>
                  </w:tcMar>
                  <w:hideMark/>
                </w:tcPr>
                <w:p w14:paraId="7066F5FE" w14:textId="77777777" w:rsidR="00061DB3" w:rsidRDefault="00061DB3">
                  <w:pPr>
                    <w:spacing w:line="188"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t>Email not displaying correctly?</w:t>
                  </w:r>
                  <w:r>
                    <w:rPr>
                      <w:rFonts w:ascii="Helvetica" w:eastAsia="Times New Roman" w:hAnsi="Helvetica" w:cs="Helvetica"/>
                      <w:color w:val="808080"/>
                      <w:sz w:val="15"/>
                      <w:szCs w:val="15"/>
                    </w:rPr>
                    <w:br/>
                  </w:r>
                  <w:hyperlink r:id="rId4" w:tgtFrame="_blank" w:history="1">
                    <w:r>
                      <w:rPr>
                        <w:rStyle w:val="Hyperlink"/>
                        <w:rFonts w:ascii="Helvetica" w:eastAsia="Times New Roman" w:hAnsi="Helvetica" w:cs="Helvetica"/>
                        <w:color w:val="606060"/>
                        <w:sz w:val="15"/>
                        <w:szCs w:val="15"/>
                      </w:rPr>
                      <w:t>View it in your browser</w:t>
                    </w:r>
                  </w:hyperlink>
                  <w:r>
                    <w:rPr>
                      <w:rFonts w:ascii="Helvetica" w:eastAsia="Times New Roman" w:hAnsi="Helvetica" w:cs="Helvetica"/>
                      <w:color w:val="808080"/>
                      <w:sz w:val="15"/>
                      <w:szCs w:val="15"/>
                    </w:rPr>
                    <w:t>. </w:t>
                  </w:r>
                </w:p>
              </w:tc>
            </w:tr>
          </w:tbl>
          <w:p w14:paraId="1F86E9DC" w14:textId="77777777" w:rsidR="00061DB3" w:rsidRDefault="00061DB3">
            <w:pPr>
              <w:jc w:val="center"/>
              <w:rPr>
                <w:rFonts w:ascii="Times New Roman" w:eastAsia="Times New Roman" w:hAnsi="Times New Roman" w:cs="Times New Roman"/>
                <w:sz w:val="20"/>
                <w:szCs w:val="20"/>
              </w:rPr>
            </w:pPr>
          </w:p>
        </w:tc>
      </w:tr>
      <w:tr w:rsidR="00061DB3" w14:paraId="260667CA" w14:textId="77777777" w:rsidTr="00061DB3">
        <w:trPr>
          <w:jc w:val="center"/>
        </w:trPr>
        <w:tc>
          <w:tcPr>
            <w:tcW w:w="0" w:type="auto"/>
            <w:tcBorders>
              <w:top w:val="nil"/>
              <w:left w:val="single" w:sz="6" w:space="0" w:color="DDDDDD"/>
              <w:bottom w:val="single" w:sz="6" w:space="0" w:color="DDDDDD"/>
              <w:right w:val="single" w:sz="6" w:space="0" w:color="DDDDDD"/>
            </w:tcBorders>
            <w:hideMark/>
          </w:tcPr>
          <w:tbl>
            <w:tblPr>
              <w:tblW w:w="5000" w:type="pct"/>
              <w:jc w:val="center"/>
              <w:tblBorders>
                <w:bottom w:val="single" w:sz="6" w:space="0" w:color="CCCCCC"/>
              </w:tblBorders>
              <w:shd w:val="clear" w:color="auto" w:fill="FFFFFF"/>
              <w:tblCellMar>
                <w:left w:w="0" w:type="dxa"/>
                <w:right w:w="0" w:type="dxa"/>
              </w:tblCellMar>
              <w:tblLook w:val="04A0" w:firstRow="1" w:lastRow="0" w:firstColumn="1" w:lastColumn="0" w:noHBand="0" w:noVBand="1"/>
            </w:tblPr>
            <w:tblGrid>
              <w:gridCol w:w="9084"/>
            </w:tblGrid>
            <w:tr w:rsidR="00061DB3" w14:paraId="49899EF5" w14:textId="77777777">
              <w:trPr>
                <w:jc w:val="center"/>
              </w:trPr>
              <w:tc>
                <w:tcPr>
                  <w:tcW w:w="0" w:type="auto"/>
                  <w:tcBorders>
                    <w:top w:val="nil"/>
                    <w:left w:val="nil"/>
                    <w:bottom w:val="nil"/>
                    <w:right w:val="nil"/>
                  </w:tcBorders>
                  <w:shd w:val="clear" w:color="auto" w:fill="FFFFFF"/>
                  <w:vAlign w:val="center"/>
                  <w:hideMark/>
                </w:tcPr>
                <w:p w14:paraId="77852281" w14:textId="77777777" w:rsidR="00061DB3" w:rsidRDefault="00061DB3">
                  <w:pPr>
                    <w:spacing w:line="300" w:lineRule="atLeast"/>
                    <w:jc w:val="right"/>
                    <w:rPr>
                      <w:rFonts w:ascii="Helvetica" w:eastAsia="Times New Roman" w:hAnsi="Helvetica" w:cs="Helvetica"/>
                      <w:b/>
                      <w:bCs/>
                      <w:color w:val="505050"/>
                      <w:sz w:val="30"/>
                      <w:szCs w:val="30"/>
                    </w:rPr>
                  </w:pPr>
                  <w:r>
                    <w:rPr>
                      <w:rFonts w:ascii="Helvetica" w:eastAsia="Times New Roman" w:hAnsi="Helvetica" w:cs="Helvetica"/>
                      <w:b/>
                      <w:bCs/>
                      <w:noProof/>
                      <w:color w:val="0000FF"/>
                      <w:sz w:val="30"/>
                      <w:szCs w:val="30"/>
                    </w:rPr>
                    <w:drawing>
                      <wp:inline distT="0" distB="0" distL="0" distR="0" wp14:anchorId="498636C4" wp14:editId="3CEFD04D">
                        <wp:extent cx="1056005" cy="283210"/>
                        <wp:effectExtent l="0" t="0" r="0" b="2540"/>
                        <wp:docPr id="12" name="Picture 12" descr="Retailer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e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6005" cy="283210"/>
                                </a:xfrm>
                                <a:prstGeom prst="rect">
                                  <a:avLst/>
                                </a:prstGeom>
                                <a:noFill/>
                                <a:ln>
                                  <a:noFill/>
                                </a:ln>
                              </pic:spPr>
                            </pic:pic>
                          </a:graphicData>
                        </a:graphic>
                      </wp:inline>
                    </w:drawing>
                  </w:r>
                  <w:r>
                    <w:rPr>
                      <w:rFonts w:ascii="Helvetica" w:eastAsia="Times New Roman" w:hAnsi="Helvetica" w:cs="Helvetica"/>
                      <w:b/>
                      <w:bCs/>
                      <w:noProof/>
                      <w:color w:val="0000FF"/>
                      <w:sz w:val="30"/>
                      <w:szCs w:val="30"/>
                    </w:rPr>
                    <w:drawing>
                      <wp:inline distT="0" distB="0" distL="0" distR="0" wp14:anchorId="5716DE4E" wp14:editId="235B495A">
                        <wp:extent cx="901700" cy="283210"/>
                        <wp:effectExtent l="0" t="0" r="0" b="2540"/>
                        <wp:docPr id="11" name="Picture 11" descr="Range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n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700" cy="283210"/>
                                </a:xfrm>
                                <a:prstGeom prst="rect">
                                  <a:avLst/>
                                </a:prstGeom>
                                <a:noFill/>
                                <a:ln>
                                  <a:noFill/>
                                </a:ln>
                              </pic:spPr>
                            </pic:pic>
                          </a:graphicData>
                        </a:graphic>
                      </wp:inline>
                    </w:drawing>
                  </w:r>
                  <w:r>
                    <w:rPr>
                      <w:rFonts w:ascii="Helvetica" w:eastAsia="Times New Roman" w:hAnsi="Helvetica" w:cs="Helvetica"/>
                      <w:b/>
                      <w:bCs/>
                      <w:noProof/>
                      <w:color w:val="0000FF"/>
                      <w:sz w:val="30"/>
                      <w:szCs w:val="30"/>
                    </w:rPr>
                    <w:drawing>
                      <wp:inline distT="0" distB="0" distL="0" distR="0" wp14:anchorId="0019D492" wp14:editId="79FC9477">
                        <wp:extent cx="875665" cy="283210"/>
                        <wp:effectExtent l="0" t="0" r="635" b="2540"/>
                        <wp:docPr id="10" name="Picture 10" descr="Research">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arc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5665" cy="283210"/>
                                </a:xfrm>
                                <a:prstGeom prst="rect">
                                  <a:avLst/>
                                </a:prstGeom>
                                <a:noFill/>
                                <a:ln>
                                  <a:noFill/>
                                </a:ln>
                              </pic:spPr>
                            </pic:pic>
                          </a:graphicData>
                        </a:graphic>
                      </wp:inline>
                    </w:drawing>
                  </w:r>
                </w:p>
              </w:tc>
            </w:tr>
            <w:tr w:rsidR="00061DB3" w14:paraId="0EBA9FBB" w14:textId="77777777">
              <w:trPr>
                <w:jc w:val="center"/>
              </w:trPr>
              <w:tc>
                <w:tcPr>
                  <w:tcW w:w="0" w:type="auto"/>
                  <w:tcBorders>
                    <w:top w:val="nil"/>
                    <w:left w:val="nil"/>
                    <w:bottom w:val="nil"/>
                    <w:right w:val="nil"/>
                  </w:tcBorders>
                  <w:shd w:val="clear" w:color="auto" w:fill="FFFFFF"/>
                  <w:vAlign w:val="center"/>
                  <w:hideMark/>
                </w:tcPr>
                <w:p w14:paraId="3FA3ECA7" w14:textId="3A523840" w:rsidR="00061DB3" w:rsidRDefault="00452AC5">
                  <w:pPr>
                    <w:spacing w:line="300" w:lineRule="atLeast"/>
                    <w:jc w:val="center"/>
                    <w:rPr>
                      <w:rFonts w:ascii="Helvetica" w:eastAsia="Times New Roman" w:hAnsi="Helvetica" w:cs="Helvetica"/>
                      <w:b/>
                      <w:bCs/>
                      <w:color w:val="505050"/>
                      <w:sz w:val="30"/>
                      <w:szCs w:val="30"/>
                    </w:rPr>
                  </w:pPr>
                  <w:r>
                    <w:rPr>
                      <w:rFonts w:ascii="Helvetica" w:eastAsia="Times New Roman" w:hAnsi="Helvetica" w:cs="Helvetica"/>
                      <w:b/>
                      <w:bCs/>
                      <w:noProof/>
                      <w:color w:val="505050"/>
                      <w:sz w:val="30"/>
                      <w:szCs w:val="30"/>
                    </w:rPr>
                    <w:drawing>
                      <wp:inline distT="0" distB="0" distL="0" distR="0" wp14:anchorId="7F44BAA0" wp14:editId="635F961C">
                        <wp:extent cx="5715000" cy="685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NSSF_K_horizontal.gif"/>
                                <pic:cNvPicPr/>
                              </pic:nvPicPr>
                              <pic:blipFill>
                                <a:blip r:embed="rId11">
                                  <a:extLst>
                                    <a:ext uri="{28A0092B-C50C-407E-A947-70E740481C1C}">
                                      <a14:useLocalDpi xmlns:a14="http://schemas.microsoft.com/office/drawing/2010/main" val="0"/>
                                    </a:ext>
                                  </a:extLst>
                                </a:blip>
                                <a:stretch>
                                  <a:fillRect/>
                                </a:stretch>
                              </pic:blipFill>
                              <pic:spPr>
                                <a:xfrm>
                                  <a:off x="0" y="0"/>
                                  <a:ext cx="5715000" cy="685800"/>
                                </a:xfrm>
                                <a:prstGeom prst="rect">
                                  <a:avLst/>
                                </a:prstGeom>
                              </pic:spPr>
                            </pic:pic>
                          </a:graphicData>
                        </a:graphic>
                      </wp:inline>
                    </w:drawing>
                  </w:r>
                  <w:r w:rsidR="00061DB3">
                    <w:rPr>
                      <w:rFonts w:ascii="Helvetica" w:eastAsia="Times New Roman" w:hAnsi="Helvetica" w:cs="Helvetica"/>
                      <w:b/>
                      <w:bCs/>
                      <w:color w:val="505050"/>
                      <w:sz w:val="30"/>
                      <w:szCs w:val="30"/>
                    </w:rPr>
                    <w:t> </w:t>
                  </w:r>
                </w:p>
              </w:tc>
            </w:tr>
            <w:tr w:rsidR="00061DB3" w14:paraId="59EA8FB3"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9084"/>
                  </w:tblGrid>
                  <w:tr w:rsidR="00061DB3" w14:paraId="00B7323F" w14:textId="77777777">
                    <w:trPr>
                      <w:jc w:val="center"/>
                    </w:trPr>
                    <w:tc>
                      <w:tcPr>
                        <w:tcW w:w="0" w:type="auto"/>
                        <w:tcBorders>
                          <w:top w:val="single" w:sz="6" w:space="0" w:color="FFFFFF"/>
                          <w:left w:val="nil"/>
                          <w:bottom w:val="single" w:sz="6" w:space="0" w:color="CCCCCC"/>
                          <w:right w:val="nil"/>
                        </w:tcBorders>
                        <w:shd w:val="clear" w:color="auto" w:fill="FFFFFF"/>
                        <w:vAlign w:val="center"/>
                        <w:hideMark/>
                      </w:tcPr>
                      <w:p w14:paraId="288E9357" w14:textId="77777777" w:rsidR="00061DB3" w:rsidRDefault="00061DB3">
                        <w:pPr>
                          <w:rPr>
                            <w:rFonts w:ascii="Helvetica" w:eastAsia="Times New Roman" w:hAnsi="Helvetica" w:cs="Helvetica"/>
                            <w:b/>
                            <w:bCs/>
                            <w:color w:val="505050"/>
                            <w:sz w:val="30"/>
                            <w:szCs w:val="30"/>
                          </w:rPr>
                        </w:pPr>
                      </w:p>
                    </w:tc>
                  </w:tr>
                </w:tbl>
                <w:p w14:paraId="0F0F52DD" w14:textId="77777777" w:rsidR="00061DB3" w:rsidRDefault="00061DB3">
                  <w:pPr>
                    <w:jc w:val="center"/>
                    <w:rPr>
                      <w:rFonts w:ascii="Times New Roman" w:eastAsia="Times New Roman" w:hAnsi="Times New Roman" w:cs="Times New Roman"/>
                      <w:sz w:val="20"/>
                      <w:szCs w:val="20"/>
                    </w:rPr>
                  </w:pPr>
                </w:p>
              </w:tc>
            </w:tr>
            <w:tr w:rsidR="00061DB3" w14:paraId="2D172F2F"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9084"/>
                  </w:tblGrid>
                  <w:tr w:rsidR="00D829D1" w14:paraId="73671BEA" w14:textId="77777777">
                    <w:trPr>
                      <w:jc w:val="center"/>
                    </w:trPr>
                    <w:tc>
                      <w:tcPr>
                        <w:tcW w:w="0" w:type="auto"/>
                        <w:tcBorders>
                          <w:top w:val="single" w:sz="6" w:space="0" w:color="FFFFFF"/>
                          <w:left w:val="nil"/>
                          <w:bottom w:val="nil"/>
                          <w:right w:val="nil"/>
                        </w:tcBorders>
                        <w:shd w:val="clear" w:color="auto" w:fill="FFFFFF"/>
                        <w:tcMar>
                          <w:top w:w="300" w:type="dxa"/>
                          <w:left w:w="300" w:type="dxa"/>
                          <w:bottom w:w="300" w:type="dxa"/>
                          <w:right w:w="300" w:type="dxa"/>
                        </w:tcMar>
                        <w:hideMark/>
                      </w:tcPr>
                      <w:p w14:paraId="71FCE8EE" w14:textId="3D7CFBA2" w:rsidR="00D829D1" w:rsidRPr="00C8006F" w:rsidRDefault="00D829D1" w:rsidP="00D829D1">
                        <w:pPr>
                          <w:pStyle w:val="NormalWeb"/>
                          <w:spacing w:line="315" w:lineRule="atLeast"/>
                          <w:jc w:val="center"/>
                          <w:rPr>
                            <w:rFonts w:ascii="Helvetica" w:hAnsi="Helvetica" w:cs="Helvetica"/>
                            <w:color w:val="505050"/>
                            <w:sz w:val="32"/>
                            <w:szCs w:val="32"/>
                          </w:rPr>
                        </w:pPr>
                        <w:r w:rsidRPr="00C8006F">
                          <w:rPr>
                            <w:rStyle w:val="Strong"/>
                            <w:rFonts w:ascii="Helvetica" w:hAnsi="Helvetica" w:cs="Helvetica"/>
                            <w:color w:val="000000"/>
                            <w:sz w:val="32"/>
                            <w:szCs w:val="32"/>
                          </w:rPr>
                          <w:t xml:space="preserve">NSSF-Adjusted NICS Background Checks for </w:t>
                        </w:r>
                        <w:r>
                          <w:rPr>
                            <w:rStyle w:val="Strong"/>
                            <w:rFonts w:ascii="Helvetica" w:hAnsi="Helvetica" w:cs="Helvetica"/>
                            <w:color w:val="000000"/>
                            <w:sz w:val="32"/>
                            <w:szCs w:val="32"/>
                          </w:rPr>
                          <w:t xml:space="preserve">          </w:t>
                        </w:r>
                        <w:r w:rsidR="00245B4E">
                          <w:rPr>
                            <w:rStyle w:val="Strong"/>
                            <w:rFonts w:ascii="Helvetica" w:hAnsi="Helvetica" w:cs="Helvetica"/>
                            <w:color w:val="000000"/>
                            <w:sz w:val="32"/>
                            <w:szCs w:val="32"/>
                          </w:rPr>
                          <w:t>June 2020 - Highest June on Record</w:t>
                        </w:r>
                      </w:p>
                      <w:p w14:paraId="0E80F477" w14:textId="7ECE4C04" w:rsidR="00D829D1" w:rsidRDefault="008C05DC" w:rsidP="00D829D1">
                        <w:pPr>
                          <w:pStyle w:val="NormalWeb"/>
                          <w:spacing w:before="0" w:after="0" w:line="276" w:lineRule="auto"/>
                          <w:rPr>
                            <w:rFonts w:ascii="Helvetica" w:hAnsi="Helvetica" w:cs="Helvetica"/>
                            <w:color w:val="595959" w:themeColor="text1" w:themeTint="A6"/>
                            <w:sz w:val="21"/>
                            <w:szCs w:val="21"/>
                          </w:rPr>
                        </w:pPr>
                        <w:r>
                          <w:rPr>
                            <w:rFonts w:ascii="Helvetica" w:hAnsi="Helvetica" w:cs="Helvetica"/>
                            <w:noProof/>
                            <w:color w:val="595959" w:themeColor="text1" w:themeTint="A6"/>
                            <w:sz w:val="21"/>
                            <w:szCs w:val="21"/>
                          </w:rPr>
                          <w:drawing>
                            <wp:anchor distT="0" distB="0" distL="114300" distR="114300" simplePos="0" relativeHeight="251658240" behindDoc="0" locked="0" layoutInCell="1" allowOverlap="1" wp14:anchorId="02C8D926" wp14:editId="64F78D36">
                              <wp:simplePos x="0" y="0"/>
                              <wp:positionH relativeFrom="column">
                                <wp:posOffset>2599690</wp:posOffset>
                              </wp:positionH>
                              <wp:positionV relativeFrom="paragraph">
                                <wp:posOffset>120015</wp:posOffset>
                              </wp:positionV>
                              <wp:extent cx="2670048" cy="2066544"/>
                              <wp:effectExtent l="0" t="0" r="0" b="0"/>
                              <wp:wrapSquare wrapText="bothSides"/>
                              <wp:docPr id="16" name="Picture 1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ultiYrMonthHistory (CAGR) 202007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048" cy="2066544"/>
                                      </a:xfrm>
                                      <a:prstGeom prst="rect">
                                        <a:avLst/>
                                      </a:prstGeom>
                                    </pic:spPr>
                                  </pic:pic>
                                </a:graphicData>
                              </a:graphic>
                              <wp14:sizeRelH relativeFrom="margin">
                                <wp14:pctWidth>0</wp14:pctWidth>
                              </wp14:sizeRelH>
                              <wp14:sizeRelV relativeFrom="margin">
                                <wp14:pctHeight>0</wp14:pctHeight>
                              </wp14:sizeRelV>
                            </wp:anchor>
                          </w:drawing>
                        </w:r>
                        <w:r w:rsidR="00D829D1" w:rsidRPr="00C8006F">
                          <w:rPr>
                            <w:rFonts w:ascii="Helvetica" w:hAnsi="Helvetica" w:cs="Helvetica"/>
                            <w:color w:val="595959" w:themeColor="text1" w:themeTint="A6"/>
                            <w:sz w:val="21"/>
                            <w:szCs w:val="21"/>
                          </w:rPr>
                          <w:t xml:space="preserve">The </w:t>
                        </w:r>
                        <w:r w:rsidR="00F566A1">
                          <w:rPr>
                            <w:rFonts w:ascii="Helvetica" w:hAnsi="Helvetica" w:cs="Helvetica"/>
                            <w:color w:val="595959" w:themeColor="text1" w:themeTint="A6"/>
                            <w:sz w:val="21"/>
                            <w:szCs w:val="21"/>
                          </w:rPr>
                          <w:t>June</w:t>
                        </w:r>
                        <w:r w:rsidR="00D829D1" w:rsidRPr="00C8006F">
                          <w:rPr>
                            <w:rFonts w:ascii="Helvetica" w:hAnsi="Helvetica" w:cs="Helvetica"/>
                            <w:color w:val="595959" w:themeColor="text1" w:themeTint="A6"/>
                            <w:sz w:val="21"/>
                            <w:szCs w:val="21"/>
                          </w:rPr>
                          <w:t xml:space="preserve"> </w:t>
                        </w:r>
                        <w:r w:rsidR="00D829D1">
                          <w:rPr>
                            <w:rFonts w:ascii="Helvetica" w:hAnsi="Helvetica" w:cs="Helvetica"/>
                            <w:color w:val="595959" w:themeColor="text1" w:themeTint="A6"/>
                            <w:sz w:val="21"/>
                            <w:szCs w:val="21"/>
                          </w:rPr>
                          <w:t>2020</w:t>
                        </w:r>
                        <w:r w:rsidR="00D829D1" w:rsidRPr="00C8006F">
                          <w:rPr>
                            <w:rFonts w:ascii="Helvetica" w:hAnsi="Helvetica" w:cs="Helvetica"/>
                            <w:color w:val="595959" w:themeColor="text1" w:themeTint="A6"/>
                            <w:sz w:val="21"/>
                            <w:szCs w:val="21"/>
                          </w:rPr>
                          <w:t xml:space="preserve"> NSSF-adjusted National Instant Criminal Background Check System (NICS) </w:t>
                        </w:r>
                        <w:r w:rsidR="00D829D1" w:rsidRPr="00DA7D35">
                          <w:rPr>
                            <w:rFonts w:ascii="Helvetica" w:hAnsi="Helvetica" w:cs="Helvetica"/>
                            <w:sz w:val="21"/>
                            <w:szCs w:val="21"/>
                          </w:rPr>
                          <w:t xml:space="preserve">figure of </w:t>
                        </w:r>
                        <w:r w:rsidR="001A5D58" w:rsidRPr="001A5D58">
                          <w:rPr>
                            <w:rStyle w:val="Strong"/>
                            <w:rFonts w:ascii="Helvetica" w:hAnsi="Helvetica" w:cs="Helvetica"/>
                            <w:color w:val="404040" w:themeColor="text1" w:themeTint="BF"/>
                            <w:sz w:val="21"/>
                            <w:szCs w:val="21"/>
                          </w:rPr>
                          <w:t>2,177,586</w:t>
                        </w:r>
                        <w:r w:rsidR="001A5D58">
                          <w:rPr>
                            <w:rStyle w:val="Strong"/>
                            <w:rFonts w:ascii="Helvetica" w:hAnsi="Helvetica" w:cs="Helvetica"/>
                            <w:color w:val="404040" w:themeColor="text1" w:themeTint="BF"/>
                            <w:sz w:val="21"/>
                            <w:szCs w:val="21"/>
                          </w:rPr>
                          <w:t xml:space="preserve"> </w:t>
                        </w:r>
                        <w:r w:rsidR="00D829D1" w:rsidRPr="00DA7D35">
                          <w:rPr>
                            <w:rFonts w:ascii="Helvetica" w:hAnsi="Helvetica" w:cs="Helvetica"/>
                            <w:sz w:val="21"/>
                            <w:szCs w:val="21"/>
                          </w:rPr>
                          <w:t xml:space="preserve">is </w:t>
                        </w:r>
                        <w:r w:rsidR="00D829D1" w:rsidRPr="007960F6">
                          <w:rPr>
                            <w:rFonts w:ascii="Helvetica" w:hAnsi="Helvetica" w:cs="Helvetica"/>
                            <w:color w:val="595959" w:themeColor="text1" w:themeTint="A6"/>
                            <w:sz w:val="21"/>
                            <w:szCs w:val="21"/>
                          </w:rPr>
                          <w:t xml:space="preserve">an increase of </w:t>
                        </w:r>
                        <w:r w:rsidR="001A5D58" w:rsidRPr="001A5D58">
                          <w:rPr>
                            <w:rFonts w:ascii="Helvetica" w:hAnsi="Helvetica" w:cs="Helvetica"/>
                            <w:b/>
                            <w:bCs/>
                            <w:color w:val="595959" w:themeColor="text1" w:themeTint="A6"/>
                            <w:sz w:val="21"/>
                            <w:szCs w:val="21"/>
                          </w:rPr>
                          <w:t>135.7</w:t>
                        </w:r>
                        <w:r w:rsidR="00D829D1" w:rsidRPr="00DA7D35">
                          <w:rPr>
                            <w:rFonts w:ascii="Helvetica" w:hAnsi="Helvetica" w:cs="Helvetica"/>
                            <w:color w:val="404040" w:themeColor="text1" w:themeTint="BF"/>
                            <w:sz w:val="21"/>
                            <w:szCs w:val="21"/>
                          </w:rPr>
                          <w:t xml:space="preserve"> </w:t>
                        </w:r>
                        <w:r w:rsidR="00D829D1" w:rsidRPr="00DA7D35">
                          <w:rPr>
                            <w:rStyle w:val="Strong"/>
                            <w:rFonts w:ascii="Helvetica" w:hAnsi="Helvetica" w:cs="Helvetica"/>
                            <w:color w:val="404040" w:themeColor="text1" w:themeTint="BF"/>
                            <w:sz w:val="21"/>
                            <w:szCs w:val="21"/>
                          </w:rPr>
                          <w:t xml:space="preserve">percent </w:t>
                        </w:r>
                        <w:r w:rsidR="00D829D1" w:rsidRPr="00C8006F">
                          <w:rPr>
                            <w:rFonts w:ascii="Helvetica" w:hAnsi="Helvetica" w:cs="Helvetica"/>
                            <w:color w:val="595959" w:themeColor="text1" w:themeTint="A6"/>
                            <w:sz w:val="21"/>
                            <w:szCs w:val="21"/>
                          </w:rPr>
                          <w:t xml:space="preserve">compared to the </w:t>
                        </w:r>
                        <w:r w:rsidR="00F566A1">
                          <w:rPr>
                            <w:rFonts w:ascii="Helvetica" w:hAnsi="Helvetica" w:cs="Helvetica"/>
                            <w:color w:val="595959" w:themeColor="text1" w:themeTint="A6"/>
                            <w:sz w:val="21"/>
                            <w:szCs w:val="21"/>
                          </w:rPr>
                          <w:t>June</w:t>
                        </w:r>
                        <w:r w:rsidR="00D829D1" w:rsidRPr="00C8006F">
                          <w:rPr>
                            <w:rFonts w:ascii="Helvetica" w:hAnsi="Helvetica" w:cs="Helvetica"/>
                            <w:color w:val="595959" w:themeColor="text1" w:themeTint="A6"/>
                            <w:sz w:val="21"/>
                            <w:szCs w:val="21"/>
                          </w:rPr>
                          <w:t xml:space="preserve"> </w:t>
                        </w:r>
                        <w:r w:rsidR="00D829D1">
                          <w:rPr>
                            <w:rFonts w:ascii="Helvetica" w:hAnsi="Helvetica" w:cs="Helvetica"/>
                            <w:color w:val="595959" w:themeColor="text1" w:themeTint="A6"/>
                            <w:sz w:val="21"/>
                            <w:szCs w:val="21"/>
                          </w:rPr>
                          <w:t>2019</w:t>
                        </w:r>
                        <w:r w:rsidR="00D829D1" w:rsidRPr="00C8006F">
                          <w:rPr>
                            <w:rFonts w:ascii="Helvetica" w:hAnsi="Helvetica" w:cs="Helvetica"/>
                            <w:color w:val="595959" w:themeColor="text1" w:themeTint="A6"/>
                            <w:sz w:val="21"/>
                            <w:szCs w:val="21"/>
                          </w:rPr>
                          <w:t xml:space="preserve"> NSSF-adjusted NICS figure of </w:t>
                        </w:r>
                        <w:r w:rsidR="001A5D58">
                          <w:rPr>
                            <w:rStyle w:val="Strong"/>
                            <w:color w:val="404040" w:themeColor="text1" w:themeTint="BF"/>
                          </w:rPr>
                          <w:t>924,054</w:t>
                        </w:r>
                        <w:r w:rsidR="00D829D1" w:rsidRPr="00C8006F">
                          <w:rPr>
                            <w:rStyle w:val="Strong"/>
                            <w:rFonts w:ascii="Helvetica" w:hAnsi="Helvetica" w:cs="Helvetica"/>
                            <w:color w:val="595959" w:themeColor="text1" w:themeTint="A6"/>
                            <w:sz w:val="21"/>
                            <w:szCs w:val="21"/>
                          </w:rPr>
                          <w:t xml:space="preserve">. </w:t>
                        </w:r>
                        <w:r w:rsidR="00D829D1" w:rsidRPr="00C8006F">
                          <w:rPr>
                            <w:rFonts w:ascii="Helvetica" w:hAnsi="Helvetica" w:cs="Helvetica"/>
                            <w:color w:val="595959" w:themeColor="text1" w:themeTint="A6"/>
                            <w:sz w:val="21"/>
                            <w:szCs w:val="21"/>
                          </w:rPr>
                          <w:t xml:space="preserve">For comparison, the unadjusted </w:t>
                        </w:r>
                        <w:r w:rsidR="00F566A1">
                          <w:rPr>
                            <w:rFonts w:ascii="Helvetica" w:hAnsi="Helvetica" w:cs="Helvetica"/>
                            <w:color w:val="595959" w:themeColor="text1" w:themeTint="A6"/>
                            <w:sz w:val="21"/>
                            <w:szCs w:val="21"/>
                          </w:rPr>
                          <w:t>June</w:t>
                        </w:r>
                        <w:r w:rsidR="00D829D1" w:rsidRPr="00DA7D35">
                          <w:rPr>
                            <w:rFonts w:ascii="Helvetica" w:hAnsi="Helvetica" w:cs="Helvetica"/>
                            <w:color w:val="595959" w:themeColor="text1" w:themeTint="A6"/>
                            <w:sz w:val="21"/>
                            <w:szCs w:val="21"/>
                          </w:rPr>
                          <w:t xml:space="preserve"> 2020 FBI NICS figure </w:t>
                        </w:r>
                        <w:r w:rsidR="00150768" w:rsidRPr="00150768">
                          <w:rPr>
                            <w:rFonts w:ascii="Helvetica" w:hAnsi="Helvetica" w:cs="Helvetica"/>
                            <w:color w:val="595959" w:themeColor="text1" w:themeTint="A6"/>
                            <w:sz w:val="21"/>
                            <w:szCs w:val="21"/>
                          </w:rPr>
                          <w:t>3,909,502</w:t>
                        </w:r>
                        <w:r w:rsidR="00150768">
                          <w:rPr>
                            <w:rFonts w:ascii="Helvetica" w:hAnsi="Helvetica" w:cs="Helvetica"/>
                            <w:color w:val="595959" w:themeColor="text1" w:themeTint="A6"/>
                            <w:sz w:val="21"/>
                            <w:szCs w:val="21"/>
                          </w:rPr>
                          <w:t xml:space="preserve"> </w:t>
                        </w:r>
                        <w:r w:rsidR="00D829D1" w:rsidRPr="00DA7D35">
                          <w:rPr>
                            <w:rFonts w:ascii="Helvetica" w:hAnsi="Helvetica" w:cs="Helvetica"/>
                            <w:color w:val="595959" w:themeColor="text1" w:themeTint="A6"/>
                            <w:sz w:val="21"/>
                            <w:szCs w:val="21"/>
                          </w:rPr>
                          <w:t xml:space="preserve">reflects a </w:t>
                        </w:r>
                        <w:r w:rsidR="00150768">
                          <w:rPr>
                            <w:rFonts w:ascii="Helvetica" w:hAnsi="Helvetica" w:cs="Helvetica"/>
                            <w:color w:val="595959" w:themeColor="text1" w:themeTint="A6"/>
                            <w:sz w:val="21"/>
                            <w:szCs w:val="21"/>
                          </w:rPr>
                          <w:t>70.6</w:t>
                        </w:r>
                        <w:r w:rsidR="00D829D1">
                          <w:rPr>
                            <w:rFonts w:ascii="Helvetica" w:hAnsi="Helvetica" w:cs="Helvetica"/>
                            <w:color w:val="595959" w:themeColor="text1" w:themeTint="A6"/>
                            <w:sz w:val="21"/>
                            <w:szCs w:val="21"/>
                          </w:rPr>
                          <w:t xml:space="preserve"> </w:t>
                        </w:r>
                        <w:r w:rsidR="00D829D1" w:rsidRPr="00DA7D35">
                          <w:rPr>
                            <w:rFonts w:ascii="Helvetica" w:hAnsi="Helvetica" w:cs="Helvetica"/>
                            <w:color w:val="595959" w:themeColor="text1" w:themeTint="A6"/>
                            <w:sz w:val="21"/>
                            <w:szCs w:val="21"/>
                          </w:rPr>
                          <w:t xml:space="preserve">percent increase </w:t>
                        </w:r>
                        <w:r w:rsidR="00D829D1" w:rsidRPr="00C8006F">
                          <w:rPr>
                            <w:rFonts w:ascii="Helvetica" w:hAnsi="Helvetica" w:cs="Helvetica"/>
                            <w:color w:val="595959" w:themeColor="text1" w:themeTint="A6"/>
                            <w:sz w:val="21"/>
                            <w:szCs w:val="21"/>
                          </w:rPr>
                          <w:t xml:space="preserve">from the unadjusted FBI NICS figure of </w:t>
                        </w:r>
                        <w:r w:rsidR="00150768" w:rsidRPr="00150768">
                          <w:rPr>
                            <w:rFonts w:ascii="Helvetica" w:hAnsi="Helvetica" w:cs="Helvetica"/>
                            <w:color w:val="595959" w:themeColor="text1" w:themeTint="A6"/>
                            <w:sz w:val="21"/>
                            <w:szCs w:val="21"/>
                          </w:rPr>
                          <w:t>2,291,066</w:t>
                        </w:r>
                        <w:r w:rsidR="00150768">
                          <w:rPr>
                            <w:rFonts w:ascii="Helvetica" w:hAnsi="Helvetica" w:cs="Helvetica"/>
                            <w:color w:val="595959" w:themeColor="text1" w:themeTint="A6"/>
                            <w:sz w:val="21"/>
                            <w:szCs w:val="21"/>
                          </w:rPr>
                          <w:t xml:space="preserve"> </w:t>
                        </w:r>
                        <w:r w:rsidR="00D829D1" w:rsidRPr="00C8006F">
                          <w:rPr>
                            <w:rFonts w:ascii="Helvetica" w:hAnsi="Helvetica" w:cs="Helvetica"/>
                            <w:color w:val="595959" w:themeColor="text1" w:themeTint="A6"/>
                            <w:sz w:val="21"/>
                            <w:szCs w:val="21"/>
                          </w:rPr>
                          <w:t xml:space="preserve">in </w:t>
                        </w:r>
                        <w:r w:rsidR="00F566A1">
                          <w:rPr>
                            <w:rFonts w:ascii="Helvetica" w:hAnsi="Helvetica" w:cs="Helvetica"/>
                            <w:color w:val="595959" w:themeColor="text1" w:themeTint="A6"/>
                            <w:sz w:val="21"/>
                            <w:szCs w:val="21"/>
                          </w:rPr>
                          <w:t>June</w:t>
                        </w:r>
                        <w:r w:rsidR="00D829D1" w:rsidRPr="00C8006F">
                          <w:rPr>
                            <w:rFonts w:ascii="Helvetica" w:hAnsi="Helvetica" w:cs="Helvetica"/>
                            <w:color w:val="595959" w:themeColor="text1" w:themeTint="A6"/>
                            <w:sz w:val="21"/>
                            <w:szCs w:val="21"/>
                          </w:rPr>
                          <w:t xml:space="preserve"> </w:t>
                        </w:r>
                        <w:r w:rsidR="00D829D1">
                          <w:rPr>
                            <w:rFonts w:ascii="Helvetica" w:hAnsi="Helvetica" w:cs="Helvetica"/>
                            <w:color w:val="595959" w:themeColor="text1" w:themeTint="A6"/>
                            <w:sz w:val="21"/>
                            <w:szCs w:val="21"/>
                          </w:rPr>
                          <w:t>2019</w:t>
                        </w:r>
                        <w:r w:rsidR="00D829D1" w:rsidRPr="00C8006F">
                          <w:rPr>
                            <w:rFonts w:ascii="Helvetica" w:hAnsi="Helvetica" w:cs="Helvetica"/>
                            <w:color w:val="595959" w:themeColor="text1" w:themeTint="A6"/>
                            <w:sz w:val="21"/>
                            <w:szCs w:val="21"/>
                          </w:rPr>
                          <w:t>.</w:t>
                        </w:r>
                      </w:p>
                      <w:p w14:paraId="502D5B15" w14:textId="0BCF00C8" w:rsidR="00636D60" w:rsidRDefault="00636D60" w:rsidP="00636D60">
                        <w:pPr>
                          <w:pStyle w:val="NormalWeb"/>
                          <w:spacing w:line="315" w:lineRule="atLeast"/>
                          <w:rPr>
                            <w:rFonts w:ascii="Helvetica" w:hAnsi="Helvetica" w:cs="Helvetica"/>
                            <w:color w:val="505050"/>
                            <w:sz w:val="21"/>
                            <w:szCs w:val="21"/>
                          </w:rPr>
                        </w:pPr>
                        <w:r>
                          <w:rPr>
                            <w:rFonts w:ascii="Helvetica" w:hAnsi="Helvetica" w:cs="Helvetica"/>
                            <w:color w:val="505050"/>
                            <w:sz w:val="21"/>
                            <w:szCs w:val="21"/>
                          </w:rPr>
                          <w:t>The </w:t>
                        </w:r>
                        <w:hyperlink r:id="rId13" w:history="1">
                          <w:r w:rsidR="00F566A1">
                            <w:rPr>
                              <w:rStyle w:val="Strong"/>
                              <w:rFonts w:ascii="Helvetica" w:hAnsi="Helvetica" w:cs="Helvetica"/>
                              <w:color w:val="4D6E70"/>
                              <w:sz w:val="21"/>
                              <w:szCs w:val="21"/>
                              <w:u w:val="single"/>
                            </w:rPr>
                            <w:t xml:space="preserve">second </w:t>
                          </w:r>
                          <w:r>
                            <w:rPr>
                              <w:rStyle w:val="Strong"/>
                              <w:rFonts w:ascii="Helvetica" w:hAnsi="Helvetica" w:cs="Helvetica"/>
                              <w:color w:val="4D6E70"/>
                              <w:sz w:val="21"/>
                              <w:szCs w:val="21"/>
                              <w:u w:val="single"/>
                            </w:rPr>
                            <w:t>quarter 20</w:t>
                          </w:r>
                          <w:r w:rsidRPr="00725F6B">
                            <w:rPr>
                              <w:rStyle w:val="Strong"/>
                              <w:rFonts w:ascii="Helvetica" w:hAnsi="Helvetica" w:cs="Helvetica"/>
                              <w:color w:val="4D6E70"/>
                              <w:u w:val="single"/>
                            </w:rPr>
                            <w:t>20</w:t>
                          </w:r>
                        </w:hyperlink>
                        <w:r>
                          <w:rPr>
                            <w:rFonts w:ascii="Helvetica" w:hAnsi="Helvetica" w:cs="Helvetica"/>
                            <w:color w:val="505050"/>
                            <w:sz w:val="21"/>
                            <w:szCs w:val="21"/>
                          </w:rPr>
                          <w:t> NSSF-adjusted National Instant Criminal Background Check System (NICS) figure of </w:t>
                        </w:r>
                        <w:r w:rsidR="00150768" w:rsidRPr="00150768">
                          <w:rPr>
                            <w:rFonts w:ascii="Helvetica" w:hAnsi="Helvetica" w:cs="Helvetica"/>
                            <w:color w:val="505050"/>
                            <w:sz w:val="21"/>
                            <w:szCs w:val="21"/>
                          </w:rPr>
                          <w:t>5,451,599</w:t>
                        </w:r>
                        <w:r w:rsidR="00150768">
                          <w:rPr>
                            <w:rFonts w:ascii="Helvetica" w:hAnsi="Helvetica" w:cs="Helvetica"/>
                            <w:color w:val="505050"/>
                            <w:sz w:val="21"/>
                            <w:szCs w:val="21"/>
                          </w:rPr>
                          <w:t xml:space="preserve"> </w:t>
                        </w:r>
                        <w:r>
                          <w:rPr>
                            <w:rFonts w:ascii="Helvetica" w:hAnsi="Helvetica" w:cs="Helvetica"/>
                            <w:color w:val="505050"/>
                            <w:sz w:val="21"/>
                            <w:szCs w:val="21"/>
                          </w:rPr>
                          <w:t xml:space="preserve">reflects an increase of </w:t>
                        </w:r>
                        <w:r w:rsidR="00150768">
                          <w:rPr>
                            <w:rFonts w:ascii="Helvetica" w:hAnsi="Helvetica" w:cs="Helvetica"/>
                            <w:color w:val="505050"/>
                            <w:sz w:val="21"/>
                            <w:szCs w:val="21"/>
                          </w:rPr>
                          <w:t>92</w:t>
                        </w:r>
                        <w:r>
                          <w:rPr>
                            <w:rFonts w:ascii="Helvetica" w:hAnsi="Helvetica" w:cs="Helvetica"/>
                            <w:color w:val="505050"/>
                            <w:sz w:val="21"/>
                            <w:szCs w:val="21"/>
                          </w:rPr>
                          <w:t xml:space="preserve">.8 percent over the </w:t>
                        </w:r>
                        <w:r w:rsidR="00150768" w:rsidRPr="00150768">
                          <w:rPr>
                            <w:rFonts w:ascii="Helvetica" w:hAnsi="Helvetica" w:cs="Helvetica"/>
                            <w:color w:val="505050"/>
                            <w:sz w:val="21"/>
                            <w:szCs w:val="21"/>
                          </w:rPr>
                          <w:t>2,827,606</w:t>
                        </w:r>
                        <w:r w:rsidR="00150768">
                          <w:rPr>
                            <w:rFonts w:ascii="Helvetica" w:hAnsi="Helvetica" w:cs="Helvetica"/>
                            <w:color w:val="505050"/>
                            <w:sz w:val="21"/>
                            <w:szCs w:val="21"/>
                          </w:rPr>
                          <w:t xml:space="preserve"> </w:t>
                        </w:r>
                        <w:r>
                          <w:rPr>
                            <w:rFonts w:ascii="Helvetica" w:hAnsi="Helvetica" w:cs="Helvetica"/>
                            <w:color w:val="505050"/>
                            <w:sz w:val="21"/>
                            <w:szCs w:val="21"/>
                          </w:rPr>
                          <w:t>figure for first quarter 2019.</w:t>
                        </w:r>
                      </w:p>
                      <w:p w14:paraId="60C20968" w14:textId="4FC2A5D5" w:rsidR="00D829D1" w:rsidRPr="00F566A1" w:rsidRDefault="00D829D1" w:rsidP="00D829D1">
                        <w:pPr>
                          <w:spacing w:line="276" w:lineRule="auto"/>
                          <w:rPr>
                            <w:rFonts w:ascii="Helvetica" w:hAnsi="Helvetica" w:cs="Helvetica"/>
                            <w:b/>
                            <w:bCs/>
                            <w:color w:val="FF0000"/>
                            <w:sz w:val="21"/>
                            <w:szCs w:val="21"/>
                          </w:rPr>
                        </w:pPr>
                        <w:r w:rsidRPr="002711B2">
                          <w:rPr>
                            <w:rFonts w:ascii="Helvetica" w:hAnsi="Helvetica" w:cs="Helvetica"/>
                            <w:b/>
                            <w:bCs/>
                            <w:color w:val="595959" w:themeColor="text1" w:themeTint="A6"/>
                            <w:sz w:val="21"/>
                            <w:szCs w:val="21"/>
                          </w:rPr>
                          <w:t>Please note:</w:t>
                        </w:r>
                        <w:r w:rsidRPr="002711B2">
                          <w:rPr>
                            <w:rFonts w:ascii="Helvetica" w:hAnsi="Helvetica" w:cs="Helvetica"/>
                            <w:color w:val="595959" w:themeColor="text1" w:themeTint="A6"/>
                            <w:sz w:val="21"/>
                            <w:szCs w:val="21"/>
                          </w:rPr>
                          <w:t xml:space="preserve"> </w:t>
                        </w:r>
                        <w:hyperlink r:id="rId14" w:tgtFrame="_blank" w:history="1">
                          <w:r>
                            <w:rPr>
                              <w:rStyle w:val="Hyperlink"/>
                              <w:rFonts w:ascii="Helvetica" w:hAnsi="Helvetica" w:cs="Helvetica"/>
                              <w:b/>
                              <w:bCs/>
                              <w:color w:val="4D6E70"/>
                              <w:sz w:val="21"/>
                              <w:szCs w:val="21"/>
                            </w:rPr>
                            <w:t>Twenty-five</w:t>
                          </w:r>
                          <w:r w:rsidRPr="00C8006F">
                            <w:rPr>
                              <w:rStyle w:val="Hyperlink"/>
                              <w:rFonts w:ascii="Helvetica" w:hAnsi="Helvetica" w:cs="Helvetica"/>
                              <w:b/>
                              <w:bCs/>
                              <w:color w:val="4D6E70"/>
                              <w:sz w:val="21"/>
                              <w:szCs w:val="21"/>
                            </w:rPr>
                            <w:t xml:space="preserve"> states</w:t>
                          </w:r>
                        </w:hyperlink>
                        <w:r w:rsidRPr="002711B2">
                          <w:rPr>
                            <w:rFonts w:ascii="Helvetica" w:hAnsi="Helvetica" w:cs="Helvetica"/>
                            <w:color w:val="595959" w:themeColor="text1" w:themeTint="A6"/>
                            <w:sz w:val="21"/>
                            <w:szCs w:val="21"/>
                          </w:rPr>
                          <w:t xml:space="preserve"> currently have at least one qualified alternative permit, which under the Brady Act allows the permit-holder, who has undergone a background check to obtain the permit, to purchase a firearm from a licensed dealer without a separate additional background check for that transfer. The number of NICS checks in these states does not include </w:t>
                        </w:r>
                        <w:r w:rsidRPr="007F4DA6">
                          <w:rPr>
                            <w:rFonts w:ascii="Helvetica" w:hAnsi="Helvetica" w:cs="Helvetica"/>
                            <w:sz w:val="21"/>
                            <w:szCs w:val="21"/>
                          </w:rPr>
                          <w:t xml:space="preserve">these legal transfers based on qualifying permits and NSSF does not adjust for these transfers. </w:t>
                        </w:r>
                        <w:r w:rsidR="007F4DA6">
                          <w:rPr>
                            <w:rFonts w:ascii="Helvetica" w:hAnsi="Helvetica" w:cs="Helvetica"/>
                            <w:sz w:val="21"/>
                            <w:szCs w:val="21"/>
                          </w:rPr>
                          <w:t>T</w:t>
                        </w:r>
                        <w:r w:rsidRPr="007F4DA6">
                          <w:rPr>
                            <w:rFonts w:ascii="Helvetica" w:hAnsi="Helvetica" w:cs="Helvetica"/>
                            <w:sz w:val="21"/>
                            <w:szCs w:val="21"/>
                          </w:rPr>
                          <w:t>he states of Alabama and M</w:t>
                        </w:r>
                        <w:r w:rsidR="009741F3" w:rsidRPr="007F4DA6">
                          <w:rPr>
                            <w:rFonts w:ascii="Helvetica" w:hAnsi="Helvetica" w:cs="Helvetica"/>
                            <w:sz w:val="21"/>
                            <w:szCs w:val="21"/>
                          </w:rPr>
                          <w:t>ichigan</w:t>
                        </w:r>
                        <w:r w:rsidRPr="007F4DA6">
                          <w:rPr>
                            <w:rFonts w:ascii="Helvetica" w:hAnsi="Helvetica" w:cs="Helvetica"/>
                            <w:sz w:val="21"/>
                            <w:szCs w:val="21"/>
                          </w:rPr>
                          <w:t xml:space="preserve"> had law changes that affected their Brady Law standing which removed qualifying alternate permits usage for firearm transactions. These changes went into effect July 22, 2019 for </w:t>
                        </w:r>
                        <w:hyperlink r:id="rId15" w:history="1">
                          <w:r w:rsidRPr="007F4DA6">
                            <w:rPr>
                              <w:rStyle w:val="Hyperlink"/>
                              <w:rFonts w:ascii="Helvetica" w:hAnsi="Helvetica" w:cs="Helvetica"/>
                              <w:b/>
                              <w:bCs/>
                              <w:color w:val="auto"/>
                              <w:sz w:val="21"/>
                              <w:szCs w:val="21"/>
                            </w:rPr>
                            <w:t>Alabama</w:t>
                          </w:r>
                        </w:hyperlink>
                        <w:r w:rsidR="00FE0246" w:rsidRPr="007F4DA6">
                          <w:rPr>
                            <w:rStyle w:val="Hyperlink"/>
                            <w:b/>
                            <w:bCs/>
                            <w:color w:val="auto"/>
                          </w:rPr>
                          <w:t xml:space="preserve">, </w:t>
                        </w:r>
                        <w:r w:rsidR="002724C3" w:rsidRPr="007F4DA6">
                          <w:rPr>
                            <w:rStyle w:val="Hyperlink"/>
                            <w:color w:val="auto"/>
                            <w:u w:val="none"/>
                          </w:rPr>
                          <w:t>and</w:t>
                        </w:r>
                        <w:r w:rsidR="002724C3" w:rsidRPr="007F4DA6">
                          <w:rPr>
                            <w:rFonts w:ascii="Helvetica" w:hAnsi="Helvetica" w:cs="Helvetica"/>
                            <w:sz w:val="21"/>
                            <w:szCs w:val="21"/>
                          </w:rPr>
                          <w:t xml:space="preserve"> March 3, 2020 for</w:t>
                        </w:r>
                        <w:r w:rsidR="002724C3" w:rsidRPr="007F4DA6">
                          <w:rPr>
                            <w:rFonts w:ascii="Helvetica" w:hAnsi="Helvetica" w:cs="Helvetica"/>
                            <w:b/>
                            <w:bCs/>
                            <w:sz w:val="21"/>
                            <w:szCs w:val="21"/>
                          </w:rPr>
                          <w:t xml:space="preserve"> </w:t>
                        </w:r>
                        <w:hyperlink r:id="rId16" w:history="1">
                          <w:r w:rsidR="002724C3" w:rsidRPr="007F4DA6">
                            <w:rPr>
                              <w:rStyle w:val="Hyperlink"/>
                              <w:rFonts w:ascii="Helvetica" w:hAnsi="Helvetica" w:cs="Helvetica"/>
                              <w:b/>
                              <w:bCs/>
                              <w:color w:val="auto"/>
                              <w:sz w:val="21"/>
                              <w:szCs w:val="21"/>
                            </w:rPr>
                            <w:t>Michigan</w:t>
                          </w:r>
                        </w:hyperlink>
                        <w:r w:rsidRPr="007F4DA6">
                          <w:rPr>
                            <w:rFonts w:ascii="Helvetica" w:hAnsi="Helvetica" w:cs="Helvetica"/>
                            <w:b/>
                            <w:bCs/>
                            <w:sz w:val="21"/>
                            <w:szCs w:val="21"/>
                          </w:rPr>
                          <w:t>.</w:t>
                        </w:r>
                        <w:r w:rsidRPr="007F4DA6">
                          <w:rPr>
                            <w:rStyle w:val="Hyperlink"/>
                            <w:rFonts w:ascii="Helvetica" w:hAnsi="Helvetica" w:cs="Helvetica"/>
                            <w:color w:val="auto"/>
                            <w:sz w:val="21"/>
                            <w:szCs w:val="21"/>
                            <w:u w:val="none"/>
                          </w:rPr>
                          <w:t xml:space="preserve"> </w:t>
                        </w:r>
                        <w:r w:rsidRPr="007F4DA6">
                          <w:rPr>
                            <w:rFonts w:ascii="Helvetica" w:hAnsi="Helvetica" w:cs="Helvetica"/>
                            <w:sz w:val="21"/>
                            <w:szCs w:val="21"/>
                          </w:rPr>
                          <w:t xml:space="preserve">In </w:t>
                        </w:r>
                        <w:r w:rsidR="007F4DA6" w:rsidRPr="007F4DA6">
                          <w:rPr>
                            <w:rFonts w:ascii="Helvetica" w:hAnsi="Helvetica" w:cs="Helvetica"/>
                            <w:sz w:val="21"/>
                            <w:szCs w:val="21"/>
                          </w:rPr>
                          <w:t>June</w:t>
                        </w:r>
                        <w:r w:rsidRPr="007F4DA6">
                          <w:rPr>
                            <w:rFonts w:ascii="Helvetica" w:hAnsi="Helvetica" w:cs="Helvetica"/>
                            <w:sz w:val="21"/>
                            <w:szCs w:val="21"/>
                          </w:rPr>
                          <w:t xml:space="preserve"> 2020, Alabama state’s NSSF-adjusted NICS was </w:t>
                        </w:r>
                        <w:r w:rsidR="007F4DA6" w:rsidRPr="007F4DA6">
                          <w:rPr>
                            <w:rFonts w:ascii="Helvetica" w:hAnsi="Helvetica" w:cs="Helvetica"/>
                            <w:b/>
                            <w:bCs/>
                            <w:sz w:val="21"/>
                            <w:szCs w:val="21"/>
                          </w:rPr>
                          <w:t>430.9</w:t>
                        </w:r>
                        <w:r w:rsidRPr="007F4DA6">
                          <w:rPr>
                            <w:rFonts w:ascii="Helvetica" w:hAnsi="Helvetica" w:cs="Helvetica"/>
                            <w:sz w:val="21"/>
                            <w:szCs w:val="21"/>
                          </w:rPr>
                          <w:t xml:space="preserve"> percent higher than </w:t>
                        </w:r>
                        <w:r w:rsidR="007F4DA6" w:rsidRPr="007F4DA6">
                          <w:rPr>
                            <w:rFonts w:ascii="Helvetica" w:hAnsi="Helvetica" w:cs="Helvetica"/>
                            <w:sz w:val="21"/>
                            <w:szCs w:val="21"/>
                          </w:rPr>
                          <w:t>June</w:t>
                        </w:r>
                        <w:r w:rsidRPr="007F4DA6">
                          <w:rPr>
                            <w:rFonts w:ascii="Helvetica" w:hAnsi="Helvetica" w:cs="Helvetica"/>
                            <w:sz w:val="21"/>
                            <w:szCs w:val="21"/>
                          </w:rPr>
                          <w:t xml:space="preserve"> 2019, which accounts for an additional </w:t>
                        </w:r>
                        <w:r w:rsidR="007F4DA6" w:rsidRPr="007F4DA6">
                          <w:rPr>
                            <w:rFonts w:ascii="Helvetica" w:hAnsi="Helvetica" w:cs="Helvetica"/>
                            <w:b/>
                            <w:bCs/>
                            <w:sz w:val="21"/>
                            <w:szCs w:val="21"/>
                          </w:rPr>
                          <w:t>60,109</w:t>
                        </w:r>
                        <w:r w:rsidRPr="007F4DA6">
                          <w:rPr>
                            <w:rFonts w:ascii="Helvetica" w:hAnsi="Helvetica" w:cs="Helvetica"/>
                            <w:sz w:val="21"/>
                            <w:szCs w:val="21"/>
                          </w:rPr>
                          <w:t xml:space="preserve"> checks over this time last year</w:t>
                        </w:r>
                        <w:r w:rsidR="00223935" w:rsidRPr="007F4DA6">
                          <w:rPr>
                            <w:rFonts w:ascii="Helvetica" w:hAnsi="Helvetica" w:cs="Helvetica"/>
                            <w:sz w:val="21"/>
                            <w:szCs w:val="21"/>
                          </w:rPr>
                          <w:t xml:space="preserve">. </w:t>
                        </w:r>
                        <w:r w:rsidR="007F4DA6" w:rsidRPr="007F4DA6">
                          <w:rPr>
                            <w:rFonts w:ascii="Helvetica" w:hAnsi="Helvetica" w:cs="Helvetica"/>
                            <w:sz w:val="21"/>
                            <w:szCs w:val="21"/>
                          </w:rPr>
                          <w:t>June</w:t>
                        </w:r>
                        <w:r w:rsidR="00223935" w:rsidRPr="007F4DA6">
                          <w:rPr>
                            <w:rFonts w:ascii="Helvetica" w:hAnsi="Helvetica" w:cs="Helvetica"/>
                            <w:sz w:val="21"/>
                            <w:szCs w:val="21"/>
                          </w:rPr>
                          <w:t xml:space="preserve"> 2020 NICS numbers for Michigan were up </w:t>
                        </w:r>
                        <w:r w:rsidR="007F4DA6" w:rsidRPr="007F4DA6">
                          <w:rPr>
                            <w:rFonts w:ascii="Helvetica" w:hAnsi="Helvetica" w:cs="Helvetica"/>
                            <w:sz w:val="21"/>
                            <w:szCs w:val="21"/>
                          </w:rPr>
                          <w:t>427.4</w:t>
                        </w:r>
                        <w:r w:rsidR="008C05DC">
                          <w:rPr>
                            <w:rFonts w:ascii="Helvetica" w:hAnsi="Helvetica" w:cs="Helvetica"/>
                            <w:sz w:val="21"/>
                            <w:szCs w:val="21"/>
                          </w:rPr>
                          <w:t xml:space="preserve"> </w:t>
                        </w:r>
                        <w:r w:rsidR="008C05DC">
                          <w:rPr>
                            <w:sz w:val="21"/>
                            <w:szCs w:val="21"/>
                          </w:rPr>
                          <w:t>percent</w:t>
                        </w:r>
                        <w:r w:rsidR="00223935" w:rsidRPr="007F4DA6">
                          <w:rPr>
                            <w:rFonts w:ascii="Helvetica" w:hAnsi="Helvetica" w:cs="Helvetica"/>
                            <w:sz w:val="21"/>
                            <w:szCs w:val="21"/>
                          </w:rPr>
                          <w:t xml:space="preserve"> over </w:t>
                        </w:r>
                        <w:r w:rsidR="007F4DA6" w:rsidRPr="007F4DA6">
                          <w:rPr>
                            <w:rFonts w:ascii="Helvetica" w:hAnsi="Helvetica" w:cs="Helvetica"/>
                            <w:sz w:val="21"/>
                            <w:szCs w:val="21"/>
                          </w:rPr>
                          <w:t>June</w:t>
                        </w:r>
                        <w:r w:rsidR="00223935" w:rsidRPr="007F4DA6">
                          <w:rPr>
                            <w:rFonts w:ascii="Helvetica" w:hAnsi="Helvetica" w:cs="Helvetica"/>
                            <w:sz w:val="21"/>
                            <w:szCs w:val="21"/>
                          </w:rPr>
                          <w:t xml:space="preserve"> 2019 and account for an additional </w:t>
                        </w:r>
                        <w:r w:rsidR="007F4DA6" w:rsidRPr="007F4DA6">
                          <w:rPr>
                            <w:rFonts w:ascii="Helvetica" w:hAnsi="Helvetica" w:cs="Helvetica"/>
                            <w:b/>
                            <w:bCs/>
                            <w:sz w:val="21"/>
                            <w:szCs w:val="21"/>
                          </w:rPr>
                          <w:t>64,748</w:t>
                        </w:r>
                        <w:r w:rsidR="00223935" w:rsidRPr="007F4DA6">
                          <w:rPr>
                            <w:rFonts w:ascii="Helvetica" w:hAnsi="Helvetica" w:cs="Helvetica"/>
                            <w:b/>
                            <w:bCs/>
                            <w:sz w:val="21"/>
                            <w:szCs w:val="21"/>
                          </w:rPr>
                          <w:t xml:space="preserve"> </w:t>
                        </w:r>
                        <w:r w:rsidR="00223935" w:rsidRPr="007F4DA6">
                          <w:rPr>
                            <w:rFonts w:ascii="Helvetica" w:hAnsi="Helvetica" w:cs="Helvetica"/>
                            <w:sz w:val="21"/>
                            <w:szCs w:val="21"/>
                          </w:rPr>
                          <w:t>checks</w:t>
                        </w:r>
                        <w:r w:rsidR="00223935" w:rsidRPr="007F4DA6">
                          <w:rPr>
                            <w:rFonts w:ascii="Helvetica" w:hAnsi="Helvetica" w:cs="Helvetica"/>
                            <w:b/>
                            <w:bCs/>
                            <w:sz w:val="21"/>
                            <w:szCs w:val="21"/>
                          </w:rPr>
                          <w:t>.</w:t>
                        </w:r>
                      </w:p>
                      <w:p w14:paraId="286B1736" w14:textId="77777777" w:rsidR="00223935" w:rsidRPr="002712C2" w:rsidRDefault="00223935" w:rsidP="00D829D1">
                        <w:pPr>
                          <w:spacing w:line="276" w:lineRule="auto"/>
                          <w:rPr>
                            <w:rFonts w:ascii="Helvetica" w:hAnsi="Helvetica" w:cs="Helvetica"/>
                            <w:color w:val="595959" w:themeColor="text1" w:themeTint="A6"/>
                            <w:sz w:val="21"/>
                            <w:szCs w:val="21"/>
                          </w:rPr>
                        </w:pPr>
                      </w:p>
                      <w:p w14:paraId="50F573C5" w14:textId="16B3DA7C" w:rsidR="00F566A1" w:rsidRPr="00C8006F" w:rsidRDefault="00D829D1" w:rsidP="007F4DA6">
                        <w:pPr>
                          <w:pStyle w:val="NormalWeb"/>
                          <w:spacing w:before="0" w:after="0"/>
                          <w:rPr>
                            <w:rFonts w:ascii="Helvetica" w:hAnsi="Helvetica" w:cs="Helvetica"/>
                            <w:color w:val="505050"/>
                            <w:sz w:val="21"/>
                            <w:szCs w:val="21"/>
                          </w:rPr>
                        </w:pPr>
                        <w:r w:rsidRPr="00C8006F">
                          <w:rPr>
                            <w:rFonts w:ascii="Helvetica" w:hAnsi="Helvetica" w:cs="Helvetica"/>
                            <w:color w:val="505050"/>
                            <w:sz w:val="21"/>
                            <w:szCs w:val="21"/>
                          </w:rPr>
                          <w:t>The </w:t>
                        </w:r>
                        <w:hyperlink r:id="rId17" w:history="1">
                          <w:r w:rsidRPr="007960F6">
                            <w:rPr>
                              <w:rStyle w:val="Strong"/>
                              <w:rFonts w:ascii="Helvetica" w:hAnsi="Helvetica" w:cs="Helvetica"/>
                              <w:color w:val="4D6E70"/>
                              <w:sz w:val="21"/>
                              <w:szCs w:val="21"/>
                              <w:highlight w:val="yellow"/>
                              <w:u w:val="single"/>
                            </w:rPr>
                            <w:t>adjusted NICS data</w:t>
                          </w:r>
                        </w:hyperlink>
                        <w:r w:rsidRPr="00C8006F">
                          <w:rPr>
                            <w:rFonts w:ascii="Helvetica" w:hAnsi="Helvetica" w:cs="Helvetica"/>
                            <w:color w:val="505050"/>
                            <w:sz w:val="21"/>
                            <w:szCs w:val="21"/>
                          </w:rPr>
                          <w:t xml:space="preserve"> were derived by subtracting out NICS purpose code permit checks and permit rechecks used by states for CCW permit application checks as well as </w:t>
                        </w:r>
                        <w:r w:rsidRPr="00C8006F">
                          <w:rPr>
                            <w:rFonts w:ascii="Helvetica" w:hAnsi="Helvetica" w:cs="Helvetica"/>
                            <w:color w:val="505050"/>
                            <w:sz w:val="21"/>
                            <w:szCs w:val="21"/>
                          </w:rPr>
                          <w:lastRenderedPageBreak/>
                          <w:t xml:space="preserve">checks on active CCW permit databases. NSSF started subtracting permit rechecks in </w:t>
                        </w:r>
                        <w:r w:rsidR="00226D72">
                          <w:rPr>
                            <w:rFonts w:ascii="Helvetica" w:hAnsi="Helvetica" w:cs="Helvetica"/>
                            <w:color w:val="505050"/>
                            <w:sz w:val="21"/>
                            <w:szCs w:val="21"/>
                          </w:rPr>
                          <w:t>February</w:t>
                        </w:r>
                        <w:r w:rsidRPr="00C8006F">
                          <w:rPr>
                            <w:rFonts w:ascii="Helvetica" w:hAnsi="Helvetica" w:cs="Helvetica"/>
                            <w:color w:val="505050"/>
                            <w:sz w:val="21"/>
                            <w:szCs w:val="21"/>
                          </w:rPr>
                          <w:t xml:space="preserve"> 2016.</w:t>
                        </w:r>
                        <w:r w:rsidRPr="00C8006F">
                          <w:rPr>
                            <w:rFonts w:ascii="Helvetica" w:hAnsi="Helvetica" w:cs="Helvetica"/>
                            <w:color w:val="505050"/>
                            <w:sz w:val="21"/>
                            <w:szCs w:val="21"/>
                          </w:rPr>
                          <w:br/>
                        </w:r>
                        <w:r w:rsidRPr="00C8006F">
                          <w:rPr>
                            <w:rFonts w:ascii="Helvetica" w:hAnsi="Helvetica" w:cs="Helvetica"/>
                            <w:color w:val="505050"/>
                            <w:sz w:val="21"/>
                            <w:szCs w:val="21"/>
                          </w:rPr>
                          <w:br/>
                          <w:t xml:space="preserve">Though not a direct correlation to firearms sales, the NSSF-adjusted NICS data provide an additional picture of current market conditions. In addition to other purposes, NICS is used to check transactions for sales or transfers of new or used firearms. </w:t>
                        </w:r>
                        <w:r w:rsidRPr="00C8006F">
                          <w:rPr>
                            <w:rFonts w:ascii="Helvetica" w:hAnsi="Helvetica" w:cs="Helvetica"/>
                            <w:color w:val="505050"/>
                            <w:sz w:val="21"/>
                            <w:szCs w:val="21"/>
                          </w:rPr>
                          <w:br/>
                          <w:t>It should be noted that these statistics represent the number of firearm background checks initiated through the NICS. They do not represent the number of firearms sold or sales dollars. Based on varying state laws, local market conditions and purchase scenarios, a one-to-one correlation cannot be made between a firearm background check and a firearm sale. </w:t>
                        </w:r>
                      </w:p>
                    </w:tc>
                  </w:tr>
                  <w:tr w:rsidR="00061DB3" w14:paraId="55958DE0" w14:textId="77777777">
                    <w:trPr>
                      <w:jc w:val="center"/>
                    </w:trPr>
                    <w:tc>
                      <w:tcPr>
                        <w:tcW w:w="0" w:type="auto"/>
                        <w:tcBorders>
                          <w:top w:val="nil"/>
                          <w:left w:val="nil"/>
                          <w:bottom w:val="nil"/>
                          <w:right w:val="nil"/>
                        </w:tcBorders>
                        <w:shd w:val="clear" w:color="auto" w:fill="EDEDED"/>
                        <w:tcMar>
                          <w:top w:w="300" w:type="dxa"/>
                          <w:left w:w="300" w:type="dxa"/>
                          <w:bottom w:w="300" w:type="dxa"/>
                          <w:right w:w="300" w:type="dxa"/>
                        </w:tcMar>
                        <w:hideMark/>
                      </w:tcPr>
                      <w:p w14:paraId="55A6C78F" w14:textId="77777777" w:rsidR="00061DB3" w:rsidRDefault="00061DB3">
                        <w:pPr>
                          <w:pStyle w:val="NormalWeb"/>
                          <w:spacing w:line="315" w:lineRule="atLeast"/>
                          <w:rPr>
                            <w:rFonts w:ascii="Helvetica" w:hAnsi="Helvetica" w:cs="Helvetica"/>
                            <w:color w:val="505050"/>
                            <w:sz w:val="21"/>
                            <w:szCs w:val="21"/>
                          </w:rPr>
                        </w:pPr>
                        <w:r>
                          <w:rPr>
                            <w:rFonts w:ascii="Arial" w:hAnsi="Arial" w:cs="Arial"/>
                            <w:color w:val="505050"/>
                            <w:sz w:val="21"/>
                            <w:szCs w:val="21"/>
                          </w:rPr>
                          <w:lastRenderedPageBreak/>
                          <w:t xml:space="preserve">For additional information on NICS or to view a complete set of the current monthly reports, please visit the </w:t>
                        </w:r>
                        <w:hyperlink r:id="rId18" w:tgtFrame="_blank" w:history="1">
                          <w:r>
                            <w:rPr>
                              <w:rStyle w:val="Hyperlink"/>
                              <w:rFonts w:ascii="Arial" w:hAnsi="Arial" w:cs="Arial"/>
                              <w:b/>
                              <w:bCs/>
                              <w:color w:val="4D6E70"/>
                              <w:sz w:val="21"/>
                              <w:szCs w:val="21"/>
                            </w:rPr>
                            <w:t>NICS website</w:t>
                          </w:r>
                        </w:hyperlink>
                        <w:r>
                          <w:rPr>
                            <w:rFonts w:ascii="Arial" w:hAnsi="Arial" w:cs="Arial"/>
                            <w:color w:val="505050"/>
                            <w:sz w:val="21"/>
                            <w:szCs w:val="21"/>
                          </w:rPr>
                          <w:t>.</w:t>
                        </w:r>
                        <w:r>
                          <w:rPr>
                            <w:rFonts w:ascii="Arial" w:hAnsi="Arial" w:cs="Arial"/>
                            <w:color w:val="505050"/>
                            <w:sz w:val="21"/>
                            <w:szCs w:val="21"/>
                          </w:rPr>
                          <w:br/>
                        </w:r>
                        <w:r>
                          <w:rPr>
                            <w:rFonts w:ascii="Arial" w:hAnsi="Arial" w:cs="Arial"/>
                            <w:color w:val="505050"/>
                            <w:sz w:val="21"/>
                            <w:szCs w:val="21"/>
                          </w:rPr>
                          <w:br/>
                          <w:t xml:space="preserve">Questions concerning NSSF-adjusted NICS data should be directed to NSSF at 203-426-1320 or </w:t>
                        </w:r>
                        <w:hyperlink r:id="rId19" w:tgtFrame="_blank" w:tooltip="mailto:research@nssf.org" w:history="1">
                          <w:r>
                            <w:rPr>
                              <w:rStyle w:val="Hyperlink"/>
                              <w:rFonts w:ascii="Arial" w:hAnsi="Arial" w:cs="Arial"/>
                              <w:b/>
                              <w:bCs/>
                              <w:color w:val="4D6E70"/>
                              <w:sz w:val="21"/>
                              <w:szCs w:val="21"/>
                            </w:rPr>
                            <w:t>research@nssf.org</w:t>
                          </w:r>
                        </w:hyperlink>
                        <w:r>
                          <w:rPr>
                            <w:rFonts w:ascii="Arial" w:hAnsi="Arial" w:cs="Arial"/>
                            <w:color w:val="505050"/>
                            <w:sz w:val="21"/>
                            <w:szCs w:val="21"/>
                          </w:rPr>
                          <w:t xml:space="preserve">. Additional research is available at </w:t>
                        </w:r>
                        <w:hyperlink r:id="rId20" w:tgtFrame="_blank" w:history="1">
                          <w:r>
                            <w:rPr>
                              <w:rStyle w:val="Hyperlink"/>
                              <w:rFonts w:ascii="Arial" w:hAnsi="Arial" w:cs="Arial"/>
                              <w:b/>
                              <w:bCs/>
                              <w:color w:val="4D6E70"/>
                              <w:sz w:val="21"/>
                              <w:szCs w:val="21"/>
                            </w:rPr>
                            <w:t>nssf.org/research</w:t>
                          </w:r>
                        </w:hyperlink>
                        <w:r>
                          <w:rPr>
                            <w:rFonts w:ascii="Arial" w:hAnsi="Arial" w:cs="Arial"/>
                            <w:color w:val="505050"/>
                            <w:sz w:val="21"/>
                            <w:szCs w:val="21"/>
                          </w:rPr>
                          <w:t xml:space="preserve">. NSSF members are able to access historical monthly NICS data by </w:t>
                        </w:r>
                        <w:hyperlink r:id="rId21" w:tgtFrame="_blank" w:history="1">
                          <w:r>
                            <w:rPr>
                              <w:rStyle w:val="Hyperlink"/>
                              <w:rFonts w:ascii="Arial" w:hAnsi="Arial" w:cs="Arial"/>
                              <w:b/>
                              <w:bCs/>
                              <w:color w:val="4D6E70"/>
                              <w:sz w:val="21"/>
                              <w:szCs w:val="21"/>
                            </w:rPr>
                            <w:t>logging in</w:t>
                          </w:r>
                        </w:hyperlink>
                        <w:r>
                          <w:rPr>
                            <w:rFonts w:ascii="Arial" w:hAnsi="Arial" w:cs="Arial"/>
                            <w:color w:val="505050"/>
                            <w:sz w:val="21"/>
                            <w:szCs w:val="21"/>
                          </w:rPr>
                          <w:t xml:space="preserve"> and clicking on "Industry Research" then "NICS data."   </w:t>
                        </w:r>
                      </w:p>
                      <w:p w14:paraId="7A4293FC" w14:textId="77777777" w:rsidR="00061DB3" w:rsidRDefault="008C05DC">
                        <w:pPr>
                          <w:spacing w:line="315" w:lineRule="atLeast"/>
                          <w:jc w:val="center"/>
                          <w:rPr>
                            <w:rFonts w:ascii="Helvetica" w:eastAsia="Times New Roman" w:hAnsi="Helvetica" w:cs="Helvetica"/>
                            <w:color w:val="505050"/>
                            <w:sz w:val="21"/>
                            <w:szCs w:val="21"/>
                          </w:rPr>
                        </w:pPr>
                        <w:r>
                          <w:rPr>
                            <w:rFonts w:ascii="Helvetica" w:eastAsia="Times New Roman" w:hAnsi="Helvetica" w:cs="Helvetica"/>
                            <w:color w:val="505050"/>
                            <w:sz w:val="21"/>
                            <w:szCs w:val="21"/>
                          </w:rPr>
                          <w:pict w14:anchorId="13359F92">
                            <v:rect id="_x0000_i1025" style="width:468pt;height:1.5pt" o:hralign="center" o:hrstd="t" o:hr="t" fillcolor="#a0a0a0" stroked="f"/>
                          </w:pict>
                        </w:r>
                      </w:p>
                      <w:p w14:paraId="67341EFC" w14:textId="4D1544FD" w:rsidR="00061DB3" w:rsidRDefault="00061DB3">
                        <w:pPr>
                          <w:pStyle w:val="NormalWeb"/>
                          <w:spacing w:line="315" w:lineRule="atLeast"/>
                          <w:rPr>
                            <w:rFonts w:ascii="Helvetica" w:hAnsi="Helvetica" w:cs="Helvetica"/>
                            <w:color w:val="505050"/>
                            <w:sz w:val="21"/>
                            <w:szCs w:val="21"/>
                          </w:rPr>
                        </w:pPr>
                        <w:r>
                          <w:rPr>
                            <w:rStyle w:val="Strong"/>
                            <w:rFonts w:ascii="Helvetica" w:hAnsi="Helvetica" w:cs="Helvetica"/>
                            <w:color w:val="505050"/>
                            <w:sz w:val="21"/>
                            <w:szCs w:val="21"/>
                          </w:rPr>
                          <w:t>About NSSF</w:t>
                        </w:r>
                        <w:r>
                          <w:rPr>
                            <w:rFonts w:ascii="Helvetica" w:hAnsi="Helvetica" w:cs="Helvetica"/>
                            <w:color w:val="505050"/>
                            <w:sz w:val="21"/>
                            <w:szCs w:val="21"/>
                          </w:rPr>
                          <w:br/>
                        </w:r>
                        <w:r>
                          <w:rPr>
                            <w:rStyle w:val="Emphasis"/>
                            <w:rFonts w:ascii="Helvetica" w:hAnsi="Helvetica" w:cs="Helvetica"/>
                            <w:color w:val="505050"/>
                            <w:sz w:val="21"/>
                            <w:szCs w:val="21"/>
                          </w:rPr>
                          <w:t xml:space="preserve">The National Shooting Sports Foundation is the trade association for the firearms industry. Its mission is to promote, protect and preserve hunting and the shooting sports. Formed in 1961, </w:t>
                        </w:r>
                        <w:r w:rsidR="00D81E10">
                          <w:rPr>
                            <w:rStyle w:val="Emphasis"/>
                            <w:rFonts w:ascii="Helvetica" w:eastAsia="Times New Roman" w:hAnsi="Helvetica" w:cs="Helvetica"/>
                            <w:color w:val="505050"/>
                            <w:sz w:val="21"/>
                            <w:szCs w:val="21"/>
                          </w:rPr>
                          <w:t>NSSF</w:t>
                        </w:r>
                        <w:r w:rsidR="00D81E10">
                          <w:rPr>
                            <w:rStyle w:val="Emphasis"/>
                            <w:rFonts w:ascii="Helvetica" w:eastAsia="Times New Roman" w:hAnsi="Helvetica" w:cs="Helvetica"/>
                            <w:color w:val="505050"/>
                            <w:sz w:val="21"/>
                            <w:szCs w:val="21"/>
                            <w:vertAlign w:val="superscript"/>
                          </w:rPr>
                          <w:t>®</w:t>
                        </w:r>
                        <w:r w:rsidR="00D81E10">
                          <w:rPr>
                            <w:rStyle w:val="Emphasis"/>
                            <w:rFonts w:ascii="Helvetica" w:eastAsia="Times New Roman" w:hAnsi="Helvetica" w:cs="Helvetica"/>
                            <w:color w:val="505050"/>
                            <w:sz w:val="21"/>
                            <w:szCs w:val="21"/>
                          </w:rPr>
                          <w:t xml:space="preserve"> has a membership of thousands of manufacturers, distributors, firearms retailers, shooting ranges, sportsmen's </w:t>
                        </w:r>
                        <w:proofErr w:type="gramStart"/>
                        <w:r w:rsidR="00D81E10">
                          <w:rPr>
                            <w:rStyle w:val="Emphasis"/>
                            <w:rFonts w:ascii="Helvetica" w:eastAsia="Times New Roman" w:hAnsi="Helvetica" w:cs="Helvetica"/>
                            <w:color w:val="505050"/>
                            <w:sz w:val="21"/>
                            <w:szCs w:val="21"/>
                          </w:rPr>
                          <w:t>organizations</w:t>
                        </w:r>
                        <w:proofErr w:type="gramEnd"/>
                        <w:r w:rsidR="00D81E10">
                          <w:rPr>
                            <w:rStyle w:val="Emphasis"/>
                            <w:rFonts w:ascii="Helvetica" w:eastAsia="Times New Roman" w:hAnsi="Helvetica" w:cs="Helvetica"/>
                            <w:color w:val="505050"/>
                            <w:sz w:val="21"/>
                            <w:szCs w:val="21"/>
                          </w:rPr>
                          <w:t xml:space="preserve"> and publishers. For more information, log on to </w:t>
                        </w:r>
                        <w:hyperlink r:id="rId22" w:history="1">
                          <w:r w:rsidR="00D81E10">
                            <w:rPr>
                              <w:rStyle w:val="Hyperlink"/>
                              <w:rFonts w:ascii="Helvetica" w:eastAsia="Times New Roman" w:hAnsi="Helvetica" w:cs="Helvetica"/>
                              <w:b/>
                              <w:bCs/>
                              <w:i/>
                              <w:iCs/>
                              <w:color w:val="4D6E70"/>
                              <w:sz w:val="21"/>
                              <w:szCs w:val="21"/>
                            </w:rPr>
                            <w:t>www.nssf.org</w:t>
                          </w:r>
                        </w:hyperlink>
                        <w:r w:rsidR="00D81E10">
                          <w:rPr>
                            <w:rStyle w:val="Strong"/>
                            <w:rFonts w:ascii="Helvetica" w:eastAsia="Times New Roman" w:hAnsi="Helvetica" w:cs="Helvetica"/>
                            <w:i/>
                            <w:iCs/>
                            <w:color w:val="505050"/>
                            <w:sz w:val="21"/>
                            <w:szCs w:val="21"/>
                          </w:rPr>
                          <w:t>.</w:t>
                        </w:r>
                        <w:r>
                          <w:rPr>
                            <w:rFonts w:ascii="Helvetica" w:hAnsi="Helvetica" w:cs="Helvetica"/>
                            <w:color w:val="505050"/>
                            <w:sz w:val="21"/>
                            <w:szCs w:val="21"/>
                          </w:rPr>
                          <w:t>.</w:t>
                        </w:r>
                      </w:p>
                    </w:tc>
                  </w:tr>
                  <w:tr w:rsidR="00061DB3" w14:paraId="2E97B54C" w14:textId="77777777">
                    <w:trPr>
                      <w:jc w:val="center"/>
                    </w:trPr>
                    <w:tc>
                      <w:tcPr>
                        <w:tcW w:w="0" w:type="auto"/>
                        <w:tcBorders>
                          <w:top w:val="nil"/>
                          <w:left w:val="nil"/>
                          <w:bottom w:val="single" w:sz="6" w:space="0" w:color="CCCCCC"/>
                          <w:right w:val="nil"/>
                        </w:tcBorders>
                        <w:shd w:val="clear" w:color="auto" w:fill="506F71"/>
                        <w:tcMar>
                          <w:top w:w="300" w:type="dxa"/>
                          <w:left w:w="300" w:type="dxa"/>
                          <w:bottom w:w="300" w:type="dxa"/>
                          <w:right w:w="300" w:type="dxa"/>
                        </w:tcMar>
                        <w:hideMark/>
                      </w:tcPr>
                      <w:p w14:paraId="6570AC87" w14:textId="77777777" w:rsidR="00061DB3" w:rsidRDefault="00061DB3">
                        <w:pPr>
                          <w:spacing w:line="315" w:lineRule="atLeast"/>
                          <w:jc w:val="center"/>
                          <w:rPr>
                            <w:rFonts w:ascii="Helvetica" w:eastAsia="Times New Roman" w:hAnsi="Helvetica" w:cs="Helvetica"/>
                            <w:color w:val="505050"/>
                            <w:sz w:val="21"/>
                            <w:szCs w:val="21"/>
                          </w:rPr>
                        </w:pPr>
                        <w:r>
                          <w:rPr>
                            <w:rFonts w:ascii="Helvetica" w:eastAsia="Times New Roman" w:hAnsi="Helvetica" w:cs="Helvetica"/>
                            <w:noProof/>
                            <w:color w:val="0000FF"/>
                            <w:sz w:val="21"/>
                            <w:szCs w:val="21"/>
                          </w:rPr>
                          <w:drawing>
                            <wp:inline distT="0" distB="0" distL="0" distR="0" wp14:anchorId="0B3770B2" wp14:editId="68EB092B">
                              <wp:extent cx="2086610" cy="244475"/>
                              <wp:effectExtent l="0" t="0" r="0" b="3175"/>
                              <wp:docPr id="9" name="Picture 9" descr="View Upcoming Event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ew Upcoming Event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r>
                          <w:rPr>
                            <w:rFonts w:ascii="Helvetica" w:eastAsia="Times New Roman" w:hAnsi="Helvetica" w:cs="Helvetica"/>
                            <w:color w:val="505050"/>
                            <w:sz w:val="21"/>
                            <w:szCs w:val="21"/>
                          </w:rPr>
                          <w:br/>
                        </w:r>
                        <w:r>
                          <w:rPr>
                            <w:rFonts w:ascii="Helvetica" w:eastAsia="Times New Roman" w:hAnsi="Helvetica" w:cs="Helvetica"/>
                            <w:noProof/>
                            <w:color w:val="0000FF"/>
                            <w:sz w:val="21"/>
                            <w:szCs w:val="21"/>
                          </w:rPr>
                          <w:drawing>
                            <wp:inline distT="0" distB="0" distL="0" distR="0" wp14:anchorId="1BCBB2C8" wp14:editId="7096554E">
                              <wp:extent cx="2086610" cy="244475"/>
                              <wp:effectExtent l="0" t="0" r="0" b="3175"/>
                              <wp:docPr id="8" name="Picture 8" descr="Subscribe to Bullet Point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bscribe to Bullet Point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r>
                          <w:rPr>
                            <w:rFonts w:ascii="Helvetica" w:eastAsia="Times New Roman" w:hAnsi="Helvetica" w:cs="Helvetica"/>
                            <w:color w:val="505050"/>
                            <w:sz w:val="21"/>
                            <w:szCs w:val="21"/>
                          </w:rPr>
                          <w:br/>
                        </w:r>
                        <w:r>
                          <w:rPr>
                            <w:rFonts w:ascii="Helvetica" w:eastAsia="Times New Roman" w:hAnsi="Helvetica" w:cs="Helvetica"/>
                            <w:noProof/>
                            <w:color w:val="0000FF"/>
                            <w:sz w:val="21"/>
                            <w:szCs w:val="21"/>
                          </w:rPr>
                          <w:drawing>
                            <wp:inline distT="0" distB="0" distL="0" distR="0" wp14:anchorId="52538972" wp14:editId="69CCBAD8">
                              <wp:extent cx="2086610" cy="244475"/>
                              <wp:effectExtent l="0" t="0" r="0" b="3175"/>
                              <wp:docPr id="7" name="Picture 7" descr="Firearms Industry job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rearms Industry job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p>
                    </w:tc>
                  </w:tr>
                </w:tbl>
                <w:p w14:paraId="0D1300ED" w14:textId="77777777" w:rsidR="00061DB3" w:rsidRDefault="00061DB3">
                  <w:pPr>
                    <w:jc w:val="center"/>
                    <w:rPr>
                      <w:rFonts w:ascii="Times New Roman" w:eastAsia="Times New Roman" w:hAnsi="Times New Roman" w:cs="Times New Roman"/>
                      <w:sz w:val="20"/>
                      <w:szCs w:val="20"/>
                    </w:rPr>
                  </w:pPr>
                </w:p>
              </w:tc>
            </w:tr>
            <w:tr w:rsidR="00061DB3" w14:paraId="0C1C8E66" w14:textId="77777777">
              <w:trPr>
                <w:jc w:val="center"/>
              </w:trPr>
              <w:tc>
                <w:tcPr>
                  <w:tcW w:w="0" w:type="auto"/>
                  <w:tcBorders>
                    <w:top w:val="nil"/>
                    <w:left w:val="nil"/>
                    <w:bottom w:val="single" w:sz="6" w:space="0" w:color="CCCCCC"/>
                    <w:right w:val="nil"/>
                  </w:tcBorders>
                  <w:shd w:val="clear" w:color="auto" w:fill="FFFFFF"/>
                  <w:hideMark/>
                </w:tcPr>
                <w:tbl>
                  <w:tblPr>
                    <w:tblW w:w="5000" w:type="pct"/>
                    <w:jc w:val="center"/>
                    <w:tblBorders>
                      <w:top w:val="single" w:sz="6" w:space="0" w:color="FFFFFF"/>
                    </w:tblBorders>
                    <w:shd w:val="clear" w:color="auto" w:fill="FFFFFF"/>
                    <w:tblCellMar>
                      <w:left w:w="0" w:type="dxa"/>
                      <w:right w:w="0" w:type="dxa"/>
                    </w:tblCellMar>
                    <w:tblLook w:val="04A0" w:firstRow="1" w:lastRow="0" w:firstColumn="1" w:lastColumn="0" w:noHBand="0" w:noVBand="1"/>
                  </w:tblPr>
                  <w:tblGrid>
                    <w:gridCol w:w="9084"/>
                  </w:tblGrid>
                  <w:tr w:rsidR="00061DB3" w14:paraId="77F56289" w14:textId="77777777">
                    <w:trPr>
                      <w:jc w:val="center"/>
                    </w:trPr>
                    <w:tc>
                      <w:tcPr>
                        <w:tcW w:w="0" w:type="auto"/>
                        <w:tcBorders>
                          <w:top w:val="single" w:sz="6" w:space="0" w:color="FFFFFF"/>
                          <w:left w:val="nil"/>
                          <w:bottom w:val="nil"/>
                          <w:right w:val="nil"/>
                        </w:tcBorders>
                        <w:shd w:val="clear" w:color="auto" w:fill="000000"/>
                        <w:tcMar>
                          <w:top w:w="0" w:type="dxa"/>
                          <w:left w:w="300" w:type="dxa"/>
                          <w:bottom w:w="300" w:type="dxa"/>
                          <w:right w:w="300" w:type="dxa"/>
                        </w:tcMar>
                        <w:hideMark/>
                      </w:tcPr>
                      <w:p w14:paraId="6D79E28E" w14:textId="77777777" w:rsidR="00061DB3" w:rsidRDefault="00061DB3">
                        <w:pPr>
                          <w:spacing w:line="225" w:lineRule="atLeast"/>
                          <w:jc w:val="right"/>
                          <w:rPr>
                            <w:rFonts w:ascii="Arial" w:eastAsia="Times New Roman" w:hAnsi="Arial" w:cs="Arial"/>
                            <w:color w:val="808080"/>
                            <w:sz w:val="18"/>
                            <w:szCs w:val="18"/>
                          </w:rPr>
                        </w:pPr>
                        <w:r>
                          <w:rPr>
                            <w:rFonts w:ascii="Arial" w:eastAsia="Times New Roman" w:hAnsi="Arial" w:cs="Arial"/>
                            <w:color w:val="808080"/>
                            <w:sz w:val="18"/>
                            <w:szCs w:val="18"/>
                          </w:rPr>
                          <w:lastRenderedPageBreak/>
                          <w:br/>
                        </w:r>
                        <w:r>
                          <w:rPr>
                            <w:rFonts w:ascii="Arial" w:eastAsia="Times New Roman" w:hAnsi="Arial" w:cs="Arial"/>
                            <w:noProof/>
                            <w:color w:val="808080"/>
                            <w:sz w:val="18"/>
                            <w:szCs w:val="18"/>
                          </w:rPr>
                          <w:drawing>
                            <wp:inline distT="0" distB="0" distL="0" distR="0" wp14:anchorId="6E28E7E7" wp14:editId="3255774A">
                              <wp:extent cx="1184910" cy="489585"/>
                              <wp:effectExtent l="0" t="0" r="0" b="0"/>
                              <wp:docPr id="6" name="Picture 6" descr="http://www2.nssf.org/l/127421/2017-06-22/2nvgxg/127421/56477/Social_Icon_BW_Connect_With_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nssf.org/l/127421/2017-06-22/2nvgxg/127421/56477/Social_Icon_BW_Connect_With_Us.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84910"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13CE1ACB" wp14:editId="64E6871B">
                              <wp:extent cx="309245" cy="489585"/>
                              <wp:effectExtent l="0" t="0" r="0" b="0"/>
                              <wp:docPr id="5" name="Picture 5" descr="http://www2.nssf.org/l/127421/2017-06-20/2ntsz2/127421/56301/Social_Icon_BW_Facebook.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nssf.org/l/127421/2017-06-20/2ntsz2/127421/56301/Social_Icon_BW_Facebook.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AD9FAD6" wp14:editId="1778D064">
                              <wp:extent cx="309245" cy="489585"/>
                              <wp:effectExtent l="0" t="0" r="0" b="0"/>
                              <wp:docPr id="4" name="Picture 4" descr="http://www2.nssf.org/l/127421/2017-06-20/2ntsz6/127421/56303/Social_Icon_BW_Twitter.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2.nssf.org/l/127421/2017-06-20/2ntsz6/127421/56303/Social_Icon_BW_Twitter.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10DF4E7E" wp14:editId="61D2FA28">
                              <wp:extent cx="309245" cy="489585"/>
                              <wp:effectExtent l="0" t="0" r="0" b="0"/>
                              <wp:docPr id="3" name="Picture 3" descr="http://www2.nssf.org/l/127421/2017-06-20/2ntszb/127421/56307/Social_Icon_BW_Instagra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2.nssf.org/l/127421/2017-06-20/2ntszb/127421/56307/Social_Icon_BW_Instagra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5D3CE2F" wp14:editId="5999D25D">
                              <wp:extent cx="309245" cy="489585"/>
                              <wp:effectExtent l="0" t="0" r="0" b="0"/>
                              <wp:docPr id="2" name="Picture 2" descr="http://www2.nssf.org/l/127421/2017-06-20/2ntsz8/127421/56305/Social_Icon_BW_LinkedIn.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2.nssf.org/l/127421/2017-06-20/2ntsz8/127421/56305/Social_Icon_BW_LinkedIn.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D282C32" wp14:editId="09348862">
                              <wp:extent cx="309245" cy="489585"/>
                              <wp:effectExtent l="0" t="0" r="0" b="0"/>
                              <wp:docPr id="1" name="Picture 1" descr="http://www2.nssf.org/l/127421/2017-06-20/2ntszg/127421/56309/Social_Icon_BW_YouTube.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2.nssf.org/l/127421/2017-06-20/2ntszg/127421/56309/Social_Icon_BW_YouTube.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p>
                    </w:tc>
                  </w:tr>
                  <w:tr w:rsidR="00061DB3" w14:paraId="65297953" w14:textId="77777777">
                    <w:trPr>
                      <w:jc w:val="center"/>
                    </w:trPr>
                    <w:tc>
                      <w:tcPr>
                        <w:tcW w:w="0" w:type="auto"/>
                        <w:tcBorders>
                          <w:top w:val="nil"/>
                          <w:left w:val="nil"/>
                          <w:bottom w:val="nil"/>
                          <w:right w:val="nil"/>
                        </w:tcBorders>
                        <w:shd w:val="clear" w:color="auto" w:fill="FFFFFF"/>
                        <w:tcMar>
                          <w:top w:w="0" w:type="dxa"/>
                          <w:left w:w="300" w:type="dxa"/>
                          <w:bottom w:w="300" w:type="dxa"/>
                          <w:right w:w="300" w:type="dxa"/>
                        </w:tcMar>
                        <w:hideMark/>
                      </w:tcPr>
                      <w:p w14:paraId="1BD212D7" w14:textId="3BB21C29" w:rsidR="00061DB3" w:rsidRDefault="00061DB3">
                        <w:pPr>
                          <w:spacing w:line="225"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lastRenderedPageBreak/>
                          <w:br/>
                        </w:r>
                        <w:r>
                          <w:rPr>
                            <w:rStyle w:val="Emphasis"/>
                            <w:rFonts w:ascii="Helvetica" w:eastAsia="Times New Roman" w:hAnsi="Helvetica" w:cs="Helvetica"/>
                            <w:color w:val="808080"/>
                            <w:sz w:val="15"/>
                            <w:szCs w:val="15"/>
                          </w:rPr>
                          <w:t xml:space="preserve">Copyright © </w:t>
                        </w:r>
                        <w:r w:rsidR="00597FA3">
                          <w:rPr>
                            <w:rStyle w:val="Emphasis"/>
                            <w:rFonts w:ascii="Helvetica" w:eastAsia="Times New Roman" w:hAnsi="Helvetica" w:cs="Helvetica"/>
                            <w:color w:val="808080"/>
                            <w:sz w:val="15"/>
                            <w:szCs w:val="15"/>
                          </w:rPr>
                          <w:t>2019</w:t>
                        </w:r>
                        <w:r>
                          <w:rPr>
                            <w:rStyle w:val="Emphasis"/>
                            <w:rFonts w:ascii="Helvetica" w:eastAsia="Times New Roman" w:hAnsi="Helvetica" w:cs="Helvetica"/>
                            <w:color w:val="808080"/>
                            <w:sz w:val="15"/>
                            <w:szCs w:val="15"/>
                          </w:rPr>
                          <w:t>. All rights reserved.</w:t>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t>National Shooting Sports Foundation</w:t>
                        </w:r>
                        <w:r>
                          <w:rPr>
                            <w:rFonts w:ascii="Helvetica" w:eastAsia="Times New Roman" w:hAnsi="Helvetica" w:cs="Helvetica"/>
                            <w:color w:val="808080"/>
                            <w:sz w:val="15"/>
                            <w:szCs w:val="15"/>
                          </w:rPr>
                          <w:br/>
                          <w:t>11 Mile Hill Road</w:t>
                        </w:r>
                        <w:r>
                          <w:rPr>
                            <w:rFonts w:ascii="Helvetica" w:eastAsia="Times New Roman" w:hAnsi="Helvetica" w:cs="Helvetica"/>
                            <w:color w:val="808080"/>
                            <w:sz w:val="15"/>
                            <w:szCs w:val="15"/>
                          </w:rPr>
                          <w:br/>
                          <w:t>Newtown, CT 06470</w:t>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r>
                        <w:hyperlink r:id="rId40" w:history="1">
                          <w:r>
                            <w:rPr>
                              <w:rStyle w:val="Hyperlink"/>
                              <w:rFonts w:ascii="Helvetica" w:eastAsia="Times New Roman" w:hAnsi="Helvetica" w:cs="Helvetica"/>
                              <w:color w:val="606060"/>
                              <w:sz w:val="15"/>
                              <w:szCs w:val="15"/>
                            </w:rPr>
                            <w:t>update subscription preferences</w:t>
                          </w:r>
                        </w:hyperlink>
                        <w:r>
                          <w:rPr>
                            <w:rFonts w:ascii="Helvetica" w:eastAsia="Times New Roman" w:hAnsi="Helvetica" w:cs="Helvetica"/>
                            <w:color w:val="808080"/>
                            <w:sz w:val="15"/>
                            <w:szCs w:val="15"/>
                          </w:rPr>
                          <w:t> | </w:t>
                        </w:r>
                        <w:hyperlink r:id="rId41" w:history="1">
                          <w:r>
                            <w:rPr>
                              <w:rStyle w:val="Hyperlink"/>
                              <w:rFonts w:ascii="Helvetica" w:eastAsia="Times New Roman" w:hAnsi="Helvetica" w:cs="Helvetica"/>
                              <w:color w:val="606060"/>
                              <w:sz w:val="15"/>
                              <w:szCs w:val="15"/>
                            </w:rPr>
                            <w:t>unsubscribe from all emails</w:t>
                          </w:r>
                        </w:hyperlink>
                      </w:p>
                    </w:tc>
                  </w:tr>
                </w:tbl>
                <w:p w14:paraId="03206057" w14:textId="77777777" w:rsidR="00061DB3" w:rsidRDefault="00061DB3">
                  <w:pPr>
                    <w:jc w:val="center"/>
                    <w:rPr>
                      <w:rFonts w:ascii="Times New Roman" w:eastAsia="Times New Roman" w:hAnsi="Times New Roman" w:cs="Times New Roman"/>
                      <w:sz w:val="20"/>
                      <w:szCs w:val="20"/>
                    </w:rPr>
                  </w:pPr>
                </w:p>
              </w:tc>
            </w:tr>
          </w:tbl>
          <w:p w14:paraId="3E8F99A7" w14:textId="77777777" w:rsidR="00061DB3" w:rsidRDefault="00061DB3">
            <w:pPr>
              <w:jc w:val="center"/>
              <w:rPr>
                <w:rFonts w:ascii="Times New Roman" w:eastAsia="Times New Roman" w:hAnsi="Times New Roman" w:cs="Times New Roman"/>
                <w:sz w:val="20"/>
                <w:szCs w:val="20"/>
              </w:rPr>
            </w:pPr>
          </w:p>
        </w:tc>
      </w:tr>
    </w:tbl>
    <w:p w14:paraId="5EC8698D" w14:textId="77777777" w:rsidR="00F83219" w:rsidRPr="00061DB3" w:rsidRDefault="00F83219" w:rsidP="00061DB3"/>
    <w:sectPr w:rsidR="00F83219" w:rsidRPr="00061D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DB3"/>
    <w:rsid w:val="00012C09"/>
    <w:rsid w:val="00015B50"/>
    <w:rsid w:val="00061DB3"/>
    <w:rsid w:val="00107895"/>
    <w:rsid w:val="0011110B"/>
    <w:rsid w:val="00150768"/>
    <w:rsid w:val="00171029"/>
    <w:rsid w:val="001758B3"/>
    <w:rsid w:val="00191264"/>
    <w:rsid w:val="001A5D58"/>
    <w:rsid w:val="001D0A4A"/>
    <w:rsid w:val="002173A3"/>
    <w:rsid w:val="0022161E"/>
    <w:rsid w:val="00223935"/>
    <w:rsid w:val="00226D72"/>
    <w:rsid w:val="00245B4E"/>
    <w:rsid w:val="0025780B"/>
    <w:rsid w:val="002724C3"/>
    <w:rsid w:val="002B24E8"/>
    <w:rsid w:val="002B3781"/>
    <w:rsid w:val="00300DD3"/>
    <w:rsid w:val="00372AF4"/>
    <w:rsid w:val="00402D8D"/>
    <w:rsid w:val="00406696"/>
    <w:rsid w:val="0044260D"/>
    <w:rsid w:val="00452AC5"/>
    <w:rsid w:val="00456F24"/>
    <w:rsid w:val="004863AE"/>
    <w:rsid w:val="004D725E"/>
    <w:rsid w:val="00500237"/>
    <w:rsid w:val="00586F12"/>
    <w:rsid w:val="00597FA3"/>
    <w:rsid w:val="00636D60"/>
    <w:rsid w:val="006F570D"/>
    <w:rsid w:val="00725F6B"/>
    <w:rsid w:val="007630E4"/>
    <w:rsid w:val="00786AE5"/>
    <w:rsid w:val="007D4EC3"/>
    <w:rsid w:val="007E21A4"/>
    <w:rsid w:val="007F4DA6"/>
    <w:rsid w:val="008C05DC"/>
    <w:rsid w:val="0094405B"/>
    <w:rsid w:val="00970883"/>
    <w:rsid w:val="009741F3"/>
    <w:rsid w:val="00A83EAE"/>
    <w:rsid w:val="00A9277F"/>
    <w:rsid w:val="00B05CB5"/>
    <w:rsid w:val="00B321EC"/>
    <w:rsid w:val="00BB4A7C"/>
    <w:rsid w:val="00C8006F"/>
    <w:rsid w:val="00D01140"/>
    <w:rsid w:val="00D22E7A"/>
    <w:rsid w:val="00D35FF5"/>
    <w:rsid w:val="00D81E10"/>
    <w:rsid w:val="00D829D1"/>
    <w:rsid w:val="00D9037C"/>
    <w:rsid w:val="00F566A1"/>
    <w:rsid w:val="00F83219"/>
    <w:rsid w:val="00F96D0E"/>
    <w:rsid w:val="00FE0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16E23A"/>
  <w15:chartTrackingRefBased/>
  <w15:docId w15:val="{570CE76D-4529-4162-BD98-CC8DD780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DB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1DB3"/>
    <w:rPr>
      <w:color w:val="0000FF"/>
      <w:u w:val="single"/>
    </w:rPr>
  </w:style>
  <w:style w:type="paragraph" w:styleId="NormalWeb">
    <w:name w:val="Normal (Web)"/>
    <w:basedOn w:val="Normal"/>
    <w:uiPriority w:val="99"/>
    <w:unhideWhenUsed/>
    <w:rsid w:val="00061DB3"/>
    <w:pPr>
      <w:spacing w:before="240" w:after="240"/>
    </w:pPr>
  </w:style>
  <w:style w:type="character" w:styleId="Strong">
    <w:name w:val="Strong"/>
    <w:basedOn w:val="DefaultParagraphFont"/>
    <w:uiPriority w:val="22"/>
    <w:qFormat/>
    <w:rsid w:val="00061DB3"/>
    <w:rPr>
      <w:b/>
      <w:bCs/>
    </w:rPr>
  </w:style>
  <w:style w:type="character" w:styleId="Emphasis">
    <w:name w:val="Emphasis"/>
    <w:basedOn w:val="DefaultParagraphFont"/>
    <w:uiPriority w:val="20"/>
    <w:qFormat/>
    <w:rsid w:val="00061DB3"/>
    <w:rPr>
      <w:i/>
      <w:iCs/>
    </w:rPr>
  </w:style>
  <w:style w:type="paragraph" w:styleId="BalloonText">
    <w:name w:val="Balloon Text"/>
    <w:basedOn w:val="Normal"/>
    <w:link w:val="BalloonTextChar"/>
    <w:uiPriority w:val="99"/>
    <w:semiHidden/>
    <w:unhideWhenUsed/>
    <w:rsid w:val="009708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883"/>
    <w:rPr>
      <w:rFonts w:ascii="Segoe UI" w:hAnsi="Segoe UI" w:cs="Segoe UI"/>
      <w:sz w:val="18"/>
      <w:szCs w:val="18"/>
    </w:rPr>
  </w:style>
  <w:style w:type="character" w:styleId="UnresolvedMention">
    <w:name w:val="Unresolved Mention"/>
    <w:basedOn w:val="DefaultParagraphFont"/>
    <w:uiPriority w:val="99"/>
    <w:semiHidden/>
    <w:unhideWhenUsed/>
    <w:rsid w:val="009741F3"/>
    <w:rPr>
      <w:color w:val="605E5C"/>
      <w:shd w:val="clear" w:color="auto" w:fill="E1DFDD"/>
    </w:rPr>
  </w:style>
  <w:style w:type="character" w:styleId="FollowedHyperlink">
    <w:name w:val="FollowedHyperlink"/>
    <w:basedOn w:val="DefaultParagraphFont"/>
    <w:uiPriority w:val="99"/>
    <w:semiHidden/>
    <w:unhideWhenUsed/>
    <w:rsid w:val="009741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153637">
      <w:bodyDiv w:val="1"/>
      <w:marLeft w:val="0"/>
      <w:marRight w:val="0"/>
      <w:marTop w:val="0"/>
      <w:marBottom w:val="0"/>
      <w:divBdr>
        <w:top w:val="none" w:sz="0" w:space="0" w:color="auto"/>
        <w:left w:val="none" w:sz="0" w:space="0" w:color="auto"/>
        <w:bottom w:val="none" w:sz="0" w:space="0" w:color="auto"/>
        <w:right w:val="none" w:sz="0" w:space="0" w:color="auto"/>
      </w:divBdr>
    </w:div>
    <w:div w:id="1292319437">
      <w:bodyDiv w:val="1"/>
      <w:marLeft w:val="0"/>
      <w:marRight w:val="0"/>
      <w:marTop w:val="0"/>
      <w:marBottom w:val="0"/>
      <w:divBdr>
        <w:top w:val="none" w:sz="0" w:space="0" w:color="auto"/>
        <w:left w:val="none" w:sz="0" w:space="0" w:color="auto"/>
        <w:bottom w:val="none" w:sz="0" w:space="0" w:color="auto"/>
        <w:right w:val="none" w:sz="0" w:space="0" w:color="auto"/>
      </w:divBdr>
    </w:div>
    <w:div w:id="172644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m01.safelinks.protection.outlook.com/?url=http%3A%2F%2Fwww2.nssf.org%2Fe%2F127421%2FNICS-0318-zip-34pg9h-148314386%2F3r4yb7%2F231265640%3Fh%3DZP8_18iWvWwvhe4clDNL8mfpa7eJrrLIKlL51-NedbE&amp;data=02%7C01%7Ceaarnold%40olin.com%7C51dee6db85ef48af8f2508d6b90bb01c%7C2ef0fdd803314add9b70e75b36b636a9%7C0%7C0%7C636899857187801714&amp;sdata=IOPq%2BCgqhNl6k3UeAPf0P0lPEclVNAj%2BqqfScavXeX8%3D&amp;reserved=0" TargetMode="External"/><Relationship Id="rId18" Type="http://schemas.openxmlformats.org/officeDocument/2006/relationships/hyperlink" Target="https://www.fbi.gov/services/cjis/nics" TargetMode="External"/><Relationship Id="rId26" Type="http://schemas.openxmlformats.org/officeDocument/2006/relationships/image" Target="media/image7.png"/><Relationship Id="rId39" Type="http://schemas.openxmlformats.org/officeDocument/2006/relationships/image" Target="media/image14.png"/><Relationship Id="rId21" Type="http://schemas.openxmlformats.org/officeDocument/2006/relationships/hyperlink" Target="https://nssf.force.com/cpbase__custom_page?page=a0Z1500000A7HvtEAF&amp;site=a0d1500000BFszkAAD" TargetMode="External"/><Relationship Id="rId34" Type="http://schemas.openxmlformats.org/officeDocument/2006/relationships/hyperlink" Target="https://www.instagram.com/thenssf/" TargetMode="External"/><Relationship Id="rId42" Type="http://schemas.openxmlformats.org/officeDocument/2006/relationships/fontTable" Target="fontTable.xml"/><Relationship Id="rId7" Type="http://schemas.openxmlformats.org/officeDocument/2006/relationships/hyperlink" Target="http://nssf.it/2wLYnh7" TargetMode="External"/><Relationship Id="rId2" Type="http://schemas.openxmlformats.org/officeDocument/2006/relationships/settings" Target="settings.xml"/><Relationship Id="rId16" Type="http://schemas.openxmlformats.org/officeDocument/2006/relationships/hyperlink" Target="https://nssfpdf.s3.amazonaws.com/MichiganPublicSafetyAdvisory.pdf" TargetMode="External"/><Relationship Id="rId20" Type="http://schemas.openxmlformats.org/officeDocument/2006/relationships/hyperlink" Target="http://nssf.it/2wMwUN3" TargetMode="External"/><Relationship Id="rId29" Type="http://schemas.openxmlformats.org/officeDocument/2006/relationships/image" Target="media/image9.png"/><Relationship Id="rId41" Type="http://schemas.openxmlformats.org/officeDocument/2006/relationships/hyperlink" Target="http://www2.nssf.org/unsubscribe/u/127421"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gif"/><Relationship Id="rId24" Type="http://schemas.openxmlformats.org/officeDocument/2006/relationships/image" Target="media/image6.png"/><Relationship Id="rId32" Type="http://schemas.openxmlformats.org/officeDocument/2006/relationships/hyperlink" Target="https://twitter.com/NSSF" TargetMode="External"/><Relationship Id="rId37" Type="http://schemas.openxmlformats.org/officeDocument/2006/relationships/image" Target="media/image13.png"/><Relationship Id="rId40" Type="http://schemas.openxmlformats.org/officeDocument/2006/relationships/hyperlink" Target="http://www2.nssf.org/emailPreference/e/127421" TargetMode="External"/><Relationship Id="rId5" Type="http://schemas.openxmlformats.org/officeDocument/2006/relationships/hyperlink" Target="http://nssf.it/2wLaVoN" TargetMode="External"/><Relationship Id="rId15" Type="http://schemas.openxmlformats.org/officeDocument/2006/relationships/hyperlink" Target="https://www.atf.gov/firearms/docs/open-letter/alabama-july2019-public-safety-advisory-alabama-federal-firearms-licensees/download" TargetMode="External"/><Relationship Id="rId23" Type="http://schemas.openxmlformats.org/officeDocument/2006/relationships/hyperlink" Target="http://nssf.it/2xeU7s0" TargetMode="External"/><Relationship Id="rId28" Type="http://schemas.openxmlformats.org/officeDocument/2006/relationships/image" Target="media/image8.png"/><Relationship Id="rId36" Type="http://schemas.openxmlformats.org/officeDocument/2006/relationships/hyperlink" Target="https://www.linkedin.com/company/national-shooting-sports-foundation" TargetMode="External"/><Relationship Id="rId10" Type="http://schemas.openxmlformats.org/officeDocument/2006/relationships/image" Target="media/image3.png"/><Relationship Id="rId19" Type="http://schemas.openxmlformats.org/officeDocument/2006/relationships/hyperlink" Target="mailto:research@nssf.org" TargetMode="External"/><Relationship Id="rId31" Type="http://schemas.openxmlformats.org/officeDocument/2006/relationships/image" Target="media/image10.png"/><Relationship Id="rId4" Type="http://schemas.openxmlformats.org/officeDocument/2006/relationships/hyperlink" Target="https://help.salesforce.com/articleView?id=pardot_view_online_link.htm" TargetMode="External"/><Relationship Id="rId9" Type="http://schemas.openxmlformats.org/officeDocument/2006/relationships/hyperlink" Target="http://nssf.it/2wMwUN3" TargetMode="External"/><Relationship Id="rId14" Type="http://schemas.openxmlformats.org/officeDocument/2006/relationships/hyperlink" Target="http://www2.nssf.org/e/127421/xzg09S0fUkxw---24s2wq-54434495/3382jp/140833002" TargetMode="External"/><Relationship Id="rId22" Type="http://schemas.openxmlformats.org/officeDocument/2006/relationships/hyperlink" Target="http://www2.nssf.org/e/127421/2vk3rZy/42rpbj/318636617?h=LsoTTPiMly1GXcPUnAeB3CUUyB6jW5VTArDigu3GnPo" TargetMode="External"/><Relationship Id="rId27" Type="http://schemas.openxmlformats.org/officeDocument/2006/relationships/hyperlink" Target="http://nssf.it/2rgfRzl" TargetMode="External"/><Relationship Id="rId30" Type="http://schemas.openxmlformats.org/officeDocument/2006/relationships/hyperlink" Target="https://www.facebook.com/NSSFcomm" TargetMode="External"/><Relationship Id="rId35" Type="http://schemas.openxmlformats.org/officeDocument/2006/relationships/image" Target="media/image12.pn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yperlink" Target="https://fonteva-customer-media.s3.amazonaws.com/00D15000000NbUBEA0/SAQWnykf_0718-NICS.zip" TargetMode="External"/><Relationship Id="rId25" Type="http://schemas.openxmlformats.org/officeDocument/2006/relationships/hyperlink" Target="http://www2.nssf.org/l/127421/2016-08-11/rpthk" TargetMode="External"/><Relationship Id="rId33" Type="http://schemas.openxmlformats.org/officeDocument/2006/relationships/image" Target="media/image11.png"/><Relationship Id="rId38" Type="http://schemas.openxmlformats.org/officeDocument/2006/relationships/hyperlink" Target="https://www.youtube.com/c/nss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Vrablic</dc:creator>
  <cp:keywords/>
  <dc:description/>
  <cp:lastModifiedBy>Dianne Vrablic</cp:lastModifiedBy>
  <cp:revision>11</cp:revision>
  <cp:lastPrinted>2019-04-03T17:32:00Z</cp:lastPrinted>
  <dcterms:created xsi:type="dcterms:W3CDTF">2020-07-01T15:13:00Z</dcterms:created>
  <dcterms:modified xsi:type="dcterms:W3CDTF">2020-07-01T17:47:00Z</dcterms:modified>
</cp:coreProperties>
</file>